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65DA9" w14:textId="3B4DC5A6" w:rsidR="00B44921" w:rsidRDefault="00522B3E" w:rsidP="00B44921">
      <w:pPr>
        <w:pStyle w:val="Heading2"/>
        <w:rPr>
          <w:lang w:val="en-US"/>
        </w:rPr>
      </w:pPr>
      <w:bookmarkStart w:id="0" w:name="_GoBack"/>
      <w:bookmarkEnd w:id="0"/>
      <w:r>
        <w:rPr>
          <w:rFonts w:ascii="Times New Roman" w:hAnsi="Times New Roman" w:cs="Times New Roman"/>
          <w:noProof/>
          <w:sz w:val="24"/>
          <w:szCs w:val="24"/>
          <w:lang w:val="en-GB" w:eastAsia="en-GB"/>
        </w:rPr>
        <w:drawing>
          <wp:anchor distT="36576" distB="36576" distL="36576" distR="36576" simplePos="0" relativeHeight="251671552" behindDoc="0" locked="0" layoutInCell="1" allowOverlap="1" wp14:anchorId="5AA66169" wp14:editId="200C1439">
            <wp:simplePos x="0" y="0"/>
            <wp:positionH relativeFrom="column">
              <wp:posOffset>3578860</wp:posOffset>
            </wp:positionH>
            <wp:positionV relativeFrom="paragraph">
              <wp:posOffset>-330200</wp:posOffset>
            </wp:positionV>
            <wp:extent cx="2542540" cy="1066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540" cy="1066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57AB7">
        <w:rPr>
          <w:rFonts w:ascii="Times New Roman" w:hAnsi="Times New Roman" w:cs="Times New Roman"/>
          <w:noProof/>
          <w:sz w:val="24"/>
          <w:szCs w:val="24"/>
          <w:lang w:val="en-GB" w:eastAsia="en-GB"/>
        </w:rPr>
        <w:drawing>
          <wp:anchor distT="36576" distB="36576" distL="36576" distR="36576" simplePos="0" relativeHeight="251667456" behindDoc="0" locked="0" layoutInCell="1" allowOverlap="1" wp14:anchorId="03EA8CAB" wp14:editId="4BBB4518">
            <wp:simplePos x="0" y="0"/>
            <wp:positionH relativeFrom="column">
              <wp:posOffset>0</wp:posOffset>
            </wp:positionH>
            <wp:positionV relativeFrom="paragraph">
              <wp:posOffset>-482601</wp:posOffset>
            </wp:positionV>
            <wp:extent cx="965200" cy="1209899"/>
            <wp:effectExtent l="0" t="0" r="0" b="0"/>
            <wp:wrapNone/>
            <wp:docPr id="3" name="Picture 3" descr="CARE_VERT_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_VERT_2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5647" cy="1210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57AB7">
        <w:rPr>
          <w:rFonts w:ascii="Times New Roman"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14:anchorId="6CA7E762" wp14:editId="07FBEC0F">
                <wp:simplePos x="0" y="0"/>
                <wp:positionH relativeFrom="column">
                  <wp:posOffset>-607695</wp:posOffset>
                </wp:positionH>
                <wp:positionV relativeFrom="paragraph">
                  <wp:posOffset>-863600</wp:posOffset>
                </wp:positionV>
                <wp:extent cx="799465" cy="317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99465" cy="317500"/>
                        </a:xfrm>
                        <a:prstGeom prst="rect">
                          <a:avLst/>
                        </a:prstGeom>
                        <a:noFill/>
                        <a:ln w="6350">
                          <a:noFill/>
                        </a:ln>
                      </wps:spPr>
                      <wps:txbx>
                        <w:txbxContent>
                          <w:p w14:paraId="5E96A39A" w14:textId="2062FBA8" w:rsidR="003F7AE0" w:rsidRPr="00267BC8" w:rsidRDefault="003F7AE0">
                            <w:pPr>
                              <w:rPr>
                                <w:b/>
                                <w:bCs/>
                                <w:color w:val="FFFFFF" w:themeColor="background1"/>
                                <w:lang w:val="en-GB"/>
                              </w:rPr>
                            </w:pPr>
                            <w:r w:rsidRPr="00267BC8">
                              <w:rPr>
                                <w:b/>
                                <w:bCs/>
                                <w:color w:val="FFFFFF" w:themeColor="background1"/>
                                <w:lang w:val="en-GB"/>
                              </w:rPr>
                              <w:t>April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A7E762" id="_x0000_t202" coordsize="21600,21600" o:spt="202" path="m,l,21600r21600,l21600,xe">
                <v:stroke joinstyle="miter"/>
                <v:path gradientshapeok="t" o:connecttype="rect"/>
              </v:shapetype>
              <v:shape id="Text Box 8" o:spid="_x0000_s1026" type="#_x0000_t202" style="position:absolute;margin-left:-47.85pt;margin-top:-68pt;width:62.95pt;height: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" filled="f" stroked="f" strokeweight=".5pt">
                <v:textbox>
                  <w:txbxContent>
                    <w:p w14:paraId="5E96A39A" w14:textId="2062FBA8" w:rsidR="003F7AE0" w:rsidRPr="00267BC8" w:rsidRDefault="003F7AE0">
                      <w:pPr>
                        <w:rPr>
                          <w:b/>
                          <w:bCs/>
                          <w:color w:val="FFFFFF" w:themeColor="background1"/>
                          <w:lang w:val="en-GB"/>
                        </w:rPr>
                      </w:pPr>
                      <w:r w:rsidRPr="00267BC8">
                        <w:rPr>
                          <w:b/>
                          <w:bCs/>
                          <w:color w:val="FFFFFF" w:themeColor="background1"/>
                          <w:lang w:val="en-GB"/>
                        </w:rPr>
                        <w:t>April 2020</w:t>
                      </w:r>
                    </w:p>
                  </w:txbxContent>
                </v:textbox>
              </v:shape>
            </w:pict>
          </mc:Fallback>
        </mc:AlternateContent>
      </w:r>
      <w:r w:rsidR="00D57AB7">
        <w:rPr>
          <w:rFonts w:ascii="Times New Roman"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6256B88F" wp14:editId="1012C286">
                <wp:simplePos x="0" y="0"/>
                <wp:positionH relativeFrom="column">
                  <wp:posOffset>5664200</wp:posOffset>
                </wp:positionH>
                <wp:positionV relativeFrom="paragraph">
                  <wp:posOffset>-850900</wp:posOffset>
                </wp:positionV>
                <wp:extent cx="1828165" cy="317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165" cy="317500"/>
                        </a:xfrm>
                        <a:prstGeom prst="rect">
                          <a:avLst/>
                        </a:prstGeom>
                        <a:noFill/>
                        <a:ln w="6350">
                          <a:noFill/>
                        </a:ln>
                      </wps:spPr>
                      <wps:txbx>
                        <w:txbxContent>
                          <w:p w14:paraId="10628F1A" w14:textId="1800D2B1" w:rsidR="003F7AE0" w:rsidRPr="00267BC8" w:rsidRDefault="003F7AE0" w:rsidP="003F7AE0">
                            <w:pPr>
                              <w:rPr>
                                <w:b/>
                                <w:bCs/>
                                <w:color w:val="FFFFFF" w:themeColor="background1"/>
                                <w:lang w:val="en-GB"/>
                              </w:rPr>
                            </w:pPr>
                            <w:r>
                              <w:rPr>
                                <w:b/>
                                <w:bCs/>
                                <w:color w:val="FFFFFF" w:themeColor="background1"/>
                                <w:lang w:val="en-GB"/>
                              </w:rPr>
                              <w:t>Learning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56B88F" id="Text Box 9" o:spid="_x0000_s1027" type="#_x0000_t202" style="position:absolute;margin-left:446pt;margin-top:-67pt;width:143.95pt;height: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" filled="f" stroked="f" strokeweight=".5pt">
                <v:textbox>
                  <w:txbxContent>
                    <w:p w14:paraId="10628F1A" w14:textId="1800D2B1" w:rsidR="003F7AE0" w:rsidRPr="00267BC8" w:rsidRDefault="003F7AE0" w:rsidP="003F7AE0">
                      <w:pPr>
                        <w:rPr>
                          <w:b/>
                          <w:bCs/>
                          <w:color w:val="FFFFFF" w:themeColor="background1"/>
                          <w:lang w:val="en-GB"/>
                        </w:rPr>
                      </w:pPr>
                      <w:r>
                        <w:rPr>
                          <w:b/>
                          <w:bCs/>
                          <w:color w:val="FFFFFF" w:themeColor="background1"/>
                          <w:lang w:val="en-GB"/>
                        </w:rPr>
                        <w:t>Learning Brief</w:t>
                      </w:r>
                    </w:p>
                  </w:txbxContent>
                </v:textbox>
              </v:shape>
            </w:pict>
          </mc:Fallback>
        </mc:AlternateContent>
      </w:r>
      <w:r w:rsidR="003F7AE0">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7057F6C5" wp14:editId="1C5B1003">
                <wp:simplePos x="0" y="0"/>
                <wp:positionH relativeFrom="column">
                  <wp:posOffset>-939800</wp:posOffset>
                </wp:positionH>
                <wp:positionV relativeFrom="paragraph">
                  <wp:posOffset>-914400</wp:posOffset>
                </wp:positionV>
                <wp:extent cx="7800975" cy="317500"/>
                <wp:effectExtent l="0" t="0" r="0" b="0"/>
                <wp:wrapNone/>
                <wp:docPr id="1" name="Rectangle 1"/>
                <wp:cNvGraphicFramePr/>
                <a:graphic xmlns:a="http://schemas.openxmlformats.org/drawingml/2006/main">
                  <a:graphicData uri="http://schemas.microsoft.com/office/word/2010/wordprocessingShape">
                    <wps:wsp>
                      <wps:cNvSpPr/>
                      <wps:spPr>
                        <a:xfrm>
                          <a:off x="0" y="0"/>
                          <a:ext cx="7800975" cy="31750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24315" id="Rectangle 1" o:spid="_x0000_s1026" style="position:absolute;margin-left:-74pt;margin-top:-1in;width:614.2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" fillcolor="#c45911 [2405]" stroked="f" strokeweight="1pt"/>
            </w:pict>
          </mc:Fallback>
        </mc:AlternateContent>
      </w:r>
    </w:p>
    <w:p w14:paraId="3C680D30" w14:textId="7FB4F950" w:rsidR="00B44921" w:rsidRDefault="00B44921" w:rsidP="00B44921">
      <w:pPr>
        <w:rPr>
          <w:lang w:val="en-US"/>
        </w:rPr>
      </w:pPr>
    </w:p>
    <w:p w14:paraId="520ABA1D" w14:textId="0092C2E1" w:rsidR="00D57AB7" w:rsidRPr="00B44921" w:rsidRDefault="00DB059D" w:rsidP="00D57AB7">
      <w:pPr>
        <w:tabs>
          <w:tab w:val="left" w:pos="7865"/>
        </w:tabs>
        <w:rPr>
          <w:lang w:val="en-US"/>
        </w:rPr>
      </w:pPr>
      <w:r>
        <w:rPr>
          <w:lang w:val="en-US"/>
        </w:rPr>
        <w:tab/>
      </w:r>
    </w:p>
    <w:p w14:paraId="7CF7D0CC" w14:textId="77777777" w:rsidR="00522B3E" w:rsidRDefault="00522B3E" w:rsidP="00267BC8">
      <w:pPr>
        <w:spacing w:after="0" w:line="240" w:lineRule="auto"/>
        <w:rPr>
          <w:rFonts w:ascii="ITC Officina Sans Std Book" w:eastAsia="Times New Roman" w:hAnsi="ITC Officina Sans Std Book" w:cs="Times New Roman"/>
          <w:b/>
          <w:bCs/>
          <w:color w:val="000000"/>
          <w:kern w:val="28"/>
          <w:sz w:val="56"/>
          <w:szCs w:val="56"/>
          <w:lang w:val="en-US"/>
          <w14:cntxtAlts/>
        </w:rPr>
      </w:pPr>
    </w:p>
    <w:p w14:paraId="35873FB4" w14:textId="77777777" w:rsidR="00522B3E" w:rsidRDefault="00522B3E" w:rsidP="00267BC8">
      <w:pPr>
        <w:spacing w:after="0" w:line="240" w:lineRule="auto"/>
        <w:rPr>
          <w:rFonts w:ascii="ITC Officina Sans Std Book" w:eastAsia="Times New Roman" w:hAnsi="ITC Officina Sans Std Book" w:cs="Times New Roman"/>
          <w:b/>
          <w:bCs/>
          <w:color w:val="000000"/>
          <w:kern w:val="28"/>
          <w:sz w:val="56"/>
          <w:szCs w:val="56"/>
          <w:lang w:val="en-US"/>
          <w14:cntxtAlts/>
        </w:rPr>
      </w:pPr>
    </w:p>
    <w:p w14:paraId="7336949C" w14:textId="4A1227A2" w:rsidR="00D3081F" w:rsidRPr="00267BC8" w:rsidRDefault="00D3081F" w:rsidP="00267BC8">
      <w:pPr>
        <w:spacing w:after="0" w:line="240" w:lineRule="auto"/>
        <w:rPr>
          <w:rFonts w:ascii="ITC Officina Sans Std Book" w:eastAsia="Times New Roman" w:hAnsi="ITC Officina Sans Std Book" w:cs="Times New Roman"/>
          <w:b/>
          <w:bCs/>
          <w:color w:val="000000"/>
          <w:kern w:val="28"/>
          <w:sz w:val="56"/>
          <w:szCs w:val="56"/>
          <w:lang w:val="en-US"/>
          <w14:cntxtAlts/>
        </w:rPr>
      </w:pPr>
      <w:r w:rsidRPr="00267BC8">
        <w:rPr>
          <w:rFonts w:ascii="ITC Officina Sans Std Book" w:eastAsia="Times New Roman" w:hAnsi="ITC Officina Sans Std Book" w:cs="Times New Roman"/>
          <w:b/>
          <w:bCs/>
          <w:color w:val="000000"/>
          <w:kern w:val="28"/>
          <w:sz w:val="56"/>
          <w:szCs w:val="56"/>
          <w:lang w:val="en-US"/>
          <w14:cntxtAlts/>
        </w:rPr>
        <w:t>Addressing Mental Health in Girls’ Education in Somalia</w:t>
      </w:r>
    </w:p>
    <w:p w14:paraId="449E5B7D" w14:textId="70D6EC63" w:rsidR="00672FCB" w:rsidRDefault="00672FCB" w:rsidP="00814DBF">
      <w:pPr>
        <w:spacing w:after="0" w:line="240" w:lineRule="auto"/>
        <w:jc w:val="both"/>
        <w:rPr>
          <w:b/>
          <w:i/>
          <w:lang w:val="en-US"/>
        </w:rPr>
      </w:pPr>
    </w:p>
    <w:p w14:paraId="0A6B35B0" w14:textId="77777777" w:rsidR="00D3081F" w:rsidRPr="00D3081F" w:rsidRDefault="00D3081F" w:rsidP="00D3081F">
      <w:pPr>
        <w:spacing w:after="0" w:line="240" w:lineRule="auto"/>
        <w:jc w:val="both"/>
        <w:rPr>
          <w:sz w:val="24"/>
          <w:szCs w:val="24"/>
          <w:lang w:val="en-US"/>
        </w:rPr>
      </w:pPr>
    </w:p>
    <w:p w14:paraId="650E8DA7" w14:textId="1D06EE53" w:rsidR="0002155A" w:rsidRPr="00D3081F" w:rsidRDefault="00D3081F" w:rsidP="00D3081F">
      <w:pPr>
        <w:spacing w:after="0" w:line="240" w:lineRule="auto"/>
        <w:jc w:val="both"/>
        <w:rPr>
          <w:sz w:val="24"/>
          <w:szCs w:val="24"/>
          <w:lang w:val="en-US"/>
        </w:rPr>
      </w:pPr>
      <w:r w:rsidRPr="00D3081F">
        <w:rPr>
          <w:sz w:val="24"/>
          <w:szCs w:val="24"/>
          <w:lang w:val="en-US"/>
        </w:rPr>
        <w:t xml:space="preserve">This brief describes the current situation, project responses and highlights progress from SOMGEP-T’s integration of targeted support to children with mental health disability </w:t>
      </w:r>
      <w:r w:rsidR="00DB059D">
        <w:rPr>
          <w:sz w:val="24"/>
          <w:szCs w:val="24"/>
          <w:lang w:val="en-US"/>
        </w:rPr>
        <w:t>in education</w:t>
      </w:r>
      <w:r w:rsidRPr="00D3081F">
        <w:rPr>
          <w:sz w:val="24"/>
          <w:szCs w:val="24"/>
          <w:lang w:val="en-US"/>
        </w:rPr>
        <w:t xml:space="preserve"> in Somalia.</w:t>
      </w:r>
    </w:p>
    <w:p w14:paraId="2678A8AD" w14:textId="77777777" w:rsidR="00D3081F" w:rsidRPr="00D3081F" w:rsidRDefault="00D3081F" w:rsidP="00D3081F">
      <w:pPr>
        <w:spacing w:after="0" w:line="240" w:lineRule="auto"/>
        <w:jc w:val="both"/>
        <w:rPr>
          <w:sz w:val="24"/>
          <w:szCs w:val="24"/>
          <w:lang w:val="en-US"/>
        </w:rPr>
      </w:pPr>
    </w:p>
    <w:p w14:paraId="7DEBC3BE" w14:textId="77777777" w:rsidR="00D3081F" w:rsidRPr="00D3081F" w:rsidRDefault="00D3081F" w:rsidP="00D3081F">
      <w:pPr>
        <w:spacing w:after="0" w:line="240" w:lineRule="auto"/>
        <w:jc w:val="both"/>
        <w:rPr>
          <w:sz w:val="24"/>
          <w:szCs w:val="24"/>
          <w:lang w:val="en-US"/>
        </w:rPr>
      </w:pPr>
    </w:p>
    <w:p w14:paraId="58C15A7D" w14:textId="300B45CF" w:rsidR="00D3081F" w:rsidRPr="00267BC8" w:rsidRDefault="0002155A" w:rsidP="00D3081F">
      <w:pPr>
        <w:spacing w:after="0" w:line="240" w:lineRule="auto"/>
        <w:jc w:val="both"/>
        <w:rPr>
          <w:b/>
          <w:bCs/>
          <w:sz w:val="32"/>
          <w:szCs w:val="32"/>
          <w:u w:val="single"/>
          <w:lang w:val="en-US"/>
        </w:rPr>
      </w:pPr>
      <w:r w:rsidRPr="00267BC8">
        <w:rPr>
          <w:b/>
          <w:bCs/>
          <w:sz w:val="32"/>
          <w:szCs w:val="32"/>
          <w:u w:val="single"/>
          <w:lang w:val="en-US"/>
        </w:rPr>
        <w:t xml:space="preserve">The </w:t>
      </w:r>
      <w:r w:rsidR="00D3081F" w:rsidRPr="00267BC8">
        <w:rPr>
          <w:b/>
          <w:bCs/>
          <w:sz w:val="32"/>
          <w:szCs w:val="32"/>
          <w:u w:val="single"/>
          <w:lang w:val="en-US"/>
        </w:rPr>
        <w:t>SOMGEP-T</w:t>
      </w:r>
      <w:r w:rsidRPr="00267BC8">
        <w:rPr>
          <w:b/>
          <w:bCs/>
          <w:sz w:val="32"/>
          <w:szCs w:val="32"/>
          <w:u w:val="single"/>
          <w:lang w:val="en-US"/>
        </w:rPr>
        <w:t xml:space="preserve"> Project</w:t>
      </w:r>
    </w:p>
    <w:p w14:paraId="0CB96107" w14:textId="77777777" w:rsidR="00D3081F" w:rsidRPr="00D3081F" w:rsidRDefault="00D3081F" w:rsidP="00D3081F">
      <w:pPr>
        <w:spacing w:after="0" w:line="240" w:lineRule="auto"/>
        <w:jc w:val="both"/>
        <w:rPr>
          <w:sz w:val="24"/>
          <w:szCs w:val="24"/>
          <w:lang w:val="en-US"/>
        </w:rPr>
      </w:pPr>
      <w:r w:rsidRPr="00D3081F">
        <w:rPr>
          <w:sz w:val="24"/>
          <w:szCs w:val="24"/>
          <w:lang w:val="en-US"/>
        </w:rPr>
        <w:t xml:space="preserve">SOMGEP‐T is a four‐year (2017‐21) initiative funded by DFID’s Girls’ Education Challenge and USAID which aims to bring about sustainable improvements to the learning and transition outcomes of </w:t>
      </w:r>
      <w:proofErr w:type="spellStart"/>
      <w:r w:rsidRPr="00D3081F">
        <w:rPr>
          <w:sz w:val="24"/>
          <w:szCs w:val="24"/>
          <w:lang w:val="en-US"/>
        </w:rPr>
        <w:t>marginalised</w:t>
      </w:r>
      <w:proofErr w:type="spellEnd"/>
      <w:r w:rsidRPr="00D3081F">
        <w:rPr>
          <w:sz w:val="24"/>
          <w:szCs w:val="24"/>
          <w:lang w:val="en-US"/>
        </w:rPr>
        <w:t xml:space="preserve"> Somali girls. A follow up to a previous four-year project (SOMGEP), SOMGEP-T seeks to further address barriers and challenges Somali girls face related to access, learning and transitions to upper primary and secondary education. The project uses a holistic, evidence‐based approach to boost reading, numeracy and transition outcomes for 27,146 girls and 30,053 boys in 148 primary and 51 secondary schools located in rural and remote areas of Somaliland, Puntland and Galmudug. </w:t>
      </w:r>
    </w:p>
    <w:p w14:paraId="3ECC076F" w14:textId="77777777" w:rsidR="00D3081F" w:rsidRPr="00D3081F" w:rsidRDefault="00D3081F" w:rsidP="00D3081F">
      <w:pPr>
        <w:spacing w:after="0" w:line="240" w:lineRule="auto"/>
        <w:jc w:val="both"/>
        <w:rPr>
          <w:sz w:val="24"/>
          <w:szCs w:val="24"/>
          <w:lang w:val="en-US"/>
        </w:rPr>
      </w:pPr>
    </w:p>
    <w:p w14:paraId="34460883" w14:textId="6AE8218B" w:rsidR="00D3081F" w:rsidRPr="00D3081F" w:rsidRDefault="00D3081F" w:rsidP="00D3081F">
      <w:pPr>
        <w:spacing w:after="0" w:line="240" w:lineRule="auto"/>
        <w:jc w:val="both"/>
        <w:rPr>
          <w:sz w:val="24"/>
          <w:szCs w:val="24"/>
          <w:lang w:val="en-US"/>
        </w:rPr>
      </w:pPr>
      <w:r w:rsidRPr="00D3081F">
        <w:rPr>
          <w:sz w:val="24"/>
          <w:szCs w:val="24"/>
          <w:lang w:val="en-US"/>
        </w:rPr>
        <w:t>To address barriers</w:t>
      </w:r>
      <w:r w:rsidR="00D57AB7">
        <w:rPr>
          <w:sz w:val="24"/>
          <w:szCs w:val="24"/>
          <w:lang w:val="en-US"/>
        </w:rPr>
        <w:t xml:space="preserve"> to</w:t>
      </w:r>
      <w:r w:rsidRPr="00D3081F">
        <w:rPr>
          <w:sz w:val="24"/>
          <w:szCs w:val="24"/>
          <w:lang w:val="en-US"/>
        </w:rPr>
        <w:t xml:space="preserve"> and causes of </w:t>
      </w:r>
      <w:proofErr w:type="spellStart"/>
      <w:r w:rsidRPr="00D3081F">
        <w:rPr>
          <w:sz w:val="24"/>
          <w:szCs w:val="24"/>
          <w:lang w:val="en-US"/>
        </w:rPr>
        <w:t>marginalisation</w:t>
      </w:r>
      <w:proofErr w:type="spellEnd"/>
      <w:r w:rsidRPr="00D3081F">
        <w:rPr>
          <w:sz w:val="24"/>
          <w:szCs w:val="24"/>
          <w:lang w:val="en-US"/>
        </w:rPr>
        <w:t xml:space="preserve">, the SOMGEP-T Theory of Change focuses on four key outputs: </w:t>
      </w:r>
    </w:p>
    <w:p w14:paraId="7DC16599" w14:textId="57A6F685" w:rsidR="00D3081F" w:rsidRPr="00267BC8" w:rsidRDefault="00D3081F" w:rsidP="00267BC8">
      <w:pPr>
        <w:pStyle w:val="ListParagraph"/>
        <w:numPr>
          <w:ilvl w:val="0"/>
          <w:numId w:val="8"/>
        </w:numPr>
        <w:spacing w:after="0" w:line="240" w:lineRule="auto"/>
        <w:jc w:val="both"/>
        <w:rPr>
          <w:sz w:val="24"/>
          <w:szCs w:val="24"/>
          <w:lang w:val="en-US"/>
        </w:rPr>
      </w:pPr>
      <w:r w:rsidRPr="00267BC8">
        <w:rPr>
          <w:sz w:val="24"/>
          <w:szCs w:val="24"/>
          <w:lang w:val="en-US"/>
        </w:rPr>
        <w:t xml:space="preserve">Improved access to tailored education opportunities; </w:t>
      </w:r>
    </w:p>
    <w:p w14:paraId="7F63A0E1" w14:textId="3B4C3DE9" w:rsidR="00D3081F" w:rsidRPr="00267BC8" w:rsidRDefault="00D3081F" w:rsidP="00267BC8">
      <w:pPr>
        <w:pStyle w:val="ListParagraph"/>
        <w:numPr>
          <w:ilvl w:val="0"/>
          <w:numId w:val="8"/>
        </w:numPr>
        <w:spacing w:after="0" w:line="240" w:lineRule="auto"/>
        <w:jc w:val="both"/>
        <w:rPr>
          <w:sz w:val="24"/>
          <w:szCs w:val="24"/>
          <w:lang w:val="en-US"/>
        </w:rPr>
      </w:pPr>
      <w:r w:rsidRPr="00267BC8">
        <w:rPr>
          <w:sz w:val="24"/>
          <w:szCs w:val="24"/>
          <w:lang w:val="en-US"/>
        </w:rPr>
        <w:t xml:space="preserve">Supportive school practices and conditions for </w:t>
      </w:r>
      <w:proofErr w:type="spellStart"/>
      <w:r w:rsidRPr="00267BC8">
        <w:rPr>
          <w:sz w:val="24"/>
          <w:szCs w:val="24"/>
          <w:lang w:val="en-US"/>
        </w:rPr>
        <w:t>marginalised</w:t>
      </w:r>
      <w:proofErr w:type="spellEnd"/>
      <w:r w:rsidRPr="00267BC8">
        <w:rPr>
          <w:sz w:val="24"/>
          <w:szCs w:val="24"/>
          <w:lang w:val="en-US"/>
        </w:rPr>
        <w:t xml:space="preserve"> girls; </w:t>
      </w:r>
    </w:p>
    <w:p w14:paraId="2C1FD326" w14:textId="76EFD534" w:rsidR="00D3081F" w:rsidRPr="00267BC8" w:rsidRDefault="00D3081F" w:rsidP="00267BC8">
      <w:pPr>
        <w:pStyle w:val="ListParagraph"/>
        <w:numPr>
          <w:ilvl w:val="0"/>
          <w:numId w:val="8"/>
        </w:numPr>
        <w:spacing w:after="0" w:line="240" w:lineRule="auto"/>
        <w:jc w:val="both"/>
        <w:rPr>
          <w:sz w:val="24"/>
          <w:szCs w:val="24"/>
          <w:lang w:val="en-US"/>
        </w:rPr>
      </w:pPr>
      <w:r w:rsidRPr="00267BC8">
        <w:rPr>
          <w:sz w:val="24"/>
          <w:szCs w:val="24"/>
          <w:lang w:val="en-US"/>
        </w:rPr>
        <w:t xml:space="preserve">Positive shifts on gender and social norms at community and individual girl level; and </w:t>
      </w:r>
    </w:p>
    <w:p w14:paraId="5BF41293" w14:textId="6A82FD77" w:rsidR="00D3081F" w:rsidRPr="00267BC8" w:rsidRDefault="00D3081F" w:rsidP="00267BC8">
      <w:pPr>
        <w:pStyle w:val="ListParagraph"/>
        <w:numPr>
          <w:ilvl w:val="0"/>
          <w:numId w:val="8"/>
        </w:numPr>
        <w:spacing w:after="0" w:line="240" w:lineRule="auto"/>
        <w:jc w:val="both"/>
        <w:rPr>
          <w:sz w:val="24"/>
          <w:szCs w:val="24"/>
          <w:lang w:val="en-US"/>
        </w:rPr>
      </w:pPr>
      <w:r w:rsidRPr="00267BC8">
        <w:rPr>
          <w:sz w:val="24"/>
          <w:szCs w:val="24"/>
          <w:lang w:val="en-US"/>
        </w:rPr>
        <w:t>Enhanced M</w:t>
      </w:r>
      <w:r w:rsidR="00D57AB7">
        <w:rPr>
          <w:sz w:val="24"/>
          <w:szCs w:val="24"/>
          <w:lang w:val="en-US"/>
        </w:rPr>
        <w:t xml:space="preserve">inistries of </w:t>
      </w:r>
      <w:r w:rsidRPr="00267BC8">
        <w:rPr>
          <w:sz w:val="24"/>
          <w:szCs w:val="24"/>
          <w:lang w:val="en-US"/>
        </w:rPr>
        <w:t>E</w:t>
      </w:r>
      <w:r w:rsidR="00D57AB7">
        <w:rPr>
          <w:sz w:val="24"/>
          <w:szCs w:val="24"/>
          <w:lang w:val="en-US"/>
        </w:rPr>
        <w:t>ducation (MOE’s)</w:t>
      </w:r>
      <w:r w:rsidRPr="00267BC8">
        <w:rPr>
          <w:sz w:val="24"/>
          <w:szCs w:val="24"/>
          <w:lang w:val="en-US"/>
        </w:rPr>
        <w:t xml:space="preserve"> capacity to deliver quality and relevant formal and informal education. </w:t>
      </w:r>
    </w:p>
    <w:p w14:paraId="3D796CF7" w14:textId="77777777" w:rsidR="00D3081F" w:rsidRPr="00D3081F" w:rsidRDefault="00D3081F" w:rsidP="00D3081F">
      <w:pPr>
        <w:spacing w:after="0" w:line="240" w:lineRule="auto"/>
        <w:jc w:val="both"/>
        <w:rPr>
          <w:sz w:val="24"/>
          <w:szCs w:val="24"/>
          <w:lang w:val="en-US"/>
        </w:rPr>
      </w:pPr>
    </w:p>
    <w:p w14:paraId="5FEC0A0A" w14:textId="1641E57B" w:rsidR="00D3081F" w:rsidRPr="00D3081F" w:rsidRDefault="00D3081F" w:rsidP="00D3081F">
      <w:pPr>
        <w:spacing w:after="0" w:line="240" w:lineRule="auto"/>
        <w:jc w:val="both"/>
        <w:rPr>
          <w:sz w:val="24"/>
          <w:szCs w:val="24"/>
          <w:lang w:val="en-US"/>
        </w:rPr>
      </w:pPr>
      <w:r w:rsidRPr="00D3081F">
        <w:rPr>
          <w:sz w:val="24"/>
          <w:szCs w:val="24"/>
          <w:lang w:val="en-US"/>
        </w:rPr>
        <w:t>Outputs are expected to contribute to the achievement of the project’s four intermediate outcomes of attendance, school governance, improved quality of teaching, and life skills development, which will in turn contribute to the long-term goals of improving learning outcomes, boosting transition rates, and ensuring the sustainability of changes brought about by the project.</w:t>
      </w:r>
    </w:p>
    <w:p w14:paraId="7D49F879" w14:textId="681FCFB3" w:rsidR="00D3081F" w:rsidRPr="00D57AB7" w:rsidRDefault="00D57AB7" w:rsidP="00D3081F">
      <w:pPr>
        <w:spacing w:after="0" w:line="240" w:lineRule="auto"/>
        <w:jc w:val="both"/>
        <w:rPr>
          <w:b/>
          <w:bCs/>
          <w:sz w:val="32"/>
          <w:szCs w:val="32"/>
          <w:u w:val="single"/>
          <w:lang w:val="en-US"/>
        </w:rPr>
      </w:pPr>
      <w:r w:rsidRPr="00D57AB7">
        <w:rPr>
          <w:b/>
          <w:bCs/>
          <w:sz w:val="32"/>
          <w:szCs w:val="32"/>
          <w:u w:val="single"/>
          <w:lang w:val="en-US"/>
        </w:rPr>
        <w:lastRenderedPageBreak/>
        <w:t>Mental Health</w:t>
      </w:r>
      <w:r w:rsidR="00D3081F" w:rsidRPr="00D57AB7">
        <w:rPr>
          <w:b/>
          <w:bCs/>
          <w:sz w:val="32"/>
          <w:szCs w:val="32"/>
          <w:u w:val="single"/>
          <w:lang w:val="en-US"/>
        </w:rPr>
        <w:t xml:space="preserve"> in SOMGEP-T</w:t>
      </w:r>
    </w:p>
    <w:p w14:paraId="19CE27CE" w14:textId="69AB32DA" w:rsidR="00D3081F" w:rsidRDefault="00D3081F" w:rsidP="00D3081F">
      <w:pPr>
        <w:spacing w:after="0" w:line="240" w:lineRule="auto"/>
        <w:jc w:val="both"/>
        <w:rPr>
          <w:sz w:val="24"/>
          <w:szCs w:val="24"/>
          <w:lang w:val="en-US"/>
        </w:rPr>
      </w:pPr>
      <w:r w:rsidRPr="00D3081F">
        <w:rPr>
          <w:sz w:val="24"/>
          <w:szCs w:val="24"/>
          <w:lang w:val="en-US"/>
        </w:rPr>
        <w:t>Mental health burden is a significant (and some argue underestimated) contributor to years lived with disability measured through disability affected life years.</w:t>
      </w:r>
      <w:r w:rsidRPr="00D3081F">
        <w:rPr>
          <w:sz w:val="24"/>
          <w:szCs w:val="24"/>
          <w:vertAlign w:val="superscript"/>
          <w:lang w:val="en-US"/>
        </w:rPr>
        <w:endnoteReference w:id="1"/>
      </w:r>
      <w:r w:rsidRPr="00D3081F">
        <w:rPr>
          <w:sz w:val="24"/>
          <w:szCs w:val="24"/>
          <w:lang w:val="en-US"/>
        </w:rPr>
        <w:t xml:space="preserve">  The increased recognition of mental health as a development priority is seen through its inclusion in the 2015 UN Sustainable Development Goals (in the preamble and as an indicator of goal three</w:t>
      </w:r>
      <w:r w:rsidRPr="00D3081F">
        <w:rPr>
          <w:sz w:val="24"/>
          <w:szCs w:val="24"/>
          <w:vertAlign w:val="superscript"/>
          <w:lang w:val="en-US"/>
        </w:rPr>
        <w:endnoteReference w:id="2"/>
      </w:r>
      <w:r w:rsidRPr="00D3081F">
        <w:rPr>
          <w:sz w:val="24"/>
          <w:szCs w:val="24"/>
          <w:lang w:val="en-US"/>
        </w:rPr>
        <w:t>.  The impact of mental health disability on education outcomes is well established.  WHO (2019) estimated that one in each six children age</w:t>
      </w:r>
      <w:r w:rsidR="00B234BC">
        <w:rPr>
          <w:sz w:val="24"/>
          <w:szCs w:val="24"/>
          <w:lang w:val="en-US"/>
        </w:rPr>
        <w:t>d</w:t>
      </w:r>
      <w:r w:rsidRPr="00D3081F">
        <w:rPr>
          <w:sz w:val="24"/>
          <w:szCs w:val="24"/>
          <w:lang w:val="en-US"/>
        </w:rPr>
        <w:t xml:space="preserve"> 10-19 faces a mental health issue, accounting for 16% of the global burden of disease and injury among this population</w:t>
      </w:r>
      <w:r w:rsidRPr="00D3081F">
        <w:rPr>
          <w:sz w:val="24"/>
          <w:szCs w:val="24"/>
          <w:vertAlign w:val="superscript"/>
          <w:lang w:val="en-US"/>
        </w:rPr>
        <w:endnoteReference w:id="3"/>
      </w:r>
      <w:r w:rsidRPr="00D3081F">
        <w:rPr>
          <w:sz w:val="24"/>
          <w:szCs w:val="24"/>
          <w:lang w:val="en-US"/>
        </w:rPr>
        <w:t>. It is estimated that as much as 20% of the adult population is at risk for poor educational and employment outcomes resulting from a continued long-term neglect of child and adolescent mental health conditions.</w:t>
      </w:r>
      <w:r w:rsidRPr="00D3081F">
        <w:rPr>
          <w:sz w:val="24"/>
          <w:szCs w:val="24"/>
          <w:vertAlign w:val="superscript"/>
          <w:lang w:val="en-US"/>
        </w:rPr>
        <w:endnoteReference w:id="4"/>
      </w:r>
      <w:r w:rsidRPr="00D3081F">
        <w:rPr>
          <w:sz w:val="24"/>
          <w:szCs w:val="24"/>
          <w:lang w:val="en-US"/>
        </w:rPr>
        <w:t xml:space="preserve">  </w:t>
      </w:r>
    </w:p>
    <w:p w14:paraId="67CAD206" w14:textId="35C861CB" w:rsidR="00B234BC" w:rsidRPr="00D3081F" w:rsidRDefault="00B234BC" w:rsidP="00D3081F">
      <w:pPr>
        <w:spacing w:after="0" w:line="240" w:lineRule="auto"/>
        <w:jc w:val="both"/>
        <w:rPr>
          <w:sz w:val="24"/>
          <w:szCs w:val="24"/>
          <w:lang w:val="en-US"/>
        </w:rPr>
      </w:pPr>
    </w:p>
    <w:p w14:paraId="14D9C867" w14:textId="11EC3ECB" w:rsidR="00D3081F" w:rsidRPr="00D3081F" w:rsidRDefault="000A1386" w:rsidP="00D3081F">
      <w:pPr>
        <w:spacing w:after="0" w:line="240" w:lineRule="auto"/>
        <w:jc w:val="both"/>
        <w:rPr>
          <w:sz w:val="24"/>
          <w:szCs w:val="24"/>
          <w:lang w:val="en-US"/>
        </w:rPr>
      </w:pPr>
      <w:r w:rsidRPr="000A1386">
        <w:rPr>
          <w:noProof/>
          <w:sz w:val="24"/>
          <w:szCs w:val="24"/>
          <w:lang w:val="en-US"/>
        </w:rPr>
        <mc:AlternateContent>
          <mc:Choice Requires="wps">
            <w:drawing>
              <wp:anchor distT="45720" distB="45720" distL="114300" distR="114300" simplePos="0" relativeHeight="251676672" behindDoc="0" locked="0" layoutInCell="1" allowOverlap="1" wp14:anchorId="22D053BB" wp14:editId="1D9FAE3E">
                <wp:simplePos x="0" y="0"/>
                <wp:positionH relativeFrom="column">
                  <wp:posOffset>3100705</wp:posOffset>
                </wp:positionH>
                <wp:positionV relativeFrom="paragraph">
                  <wp:posOffset>101766</wp:posOffset>
                </wp:positionV>
                <wp:extent cx="3028950" cy="1404620"/>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solidFill>
                          <a:srgbClr val="FFFFFF"/>
                        </a:solidFill>
                        <a:ln w="9525">
                          <a:solidFill>
                            <a:srgbClr val="000000"/>
                          </a:solidFill>
                          <a:miter lim="800000"/>
                          <a:headEnd/>
                          <a:tailEnd/>
                        </a:ln>
                      </wps:spPr>
                      <wps:txbx>
                        <w:txbxContent>
                          <w:p w14:paraId="5928BB7F" w14:textId="72335EC9" w:rsidR="000A1386" w:rsidRPr="00BA6D54" w:rsidRDefault="000A1386" w:rsidP="00BA6D54">
                            <w:pPr>
                              <w:jc w:val="center"/>
                              <w:rPr>
                                <w:b/>
                                <w:bCs/>
                              </w:rPr>
                            </w:pPr>
                            <w:proofErr w:type="spellStart"/>
                            <w:r w:rsidRPr="00BA6D54">
                              <w:rPr>
                                <w:b/>
                                <w:bCs/>
                              </w:rPr>
                              <w:t>Assessing</w:t>
                            </w:r>
                            <w:proofErr w:type="spellEnd"/>
                            <w:r w:rsidRPr="00BA6D54">
                              <w:rPr>
                                <w:b/>
                                <w:bCs/>
                              </w:rPr>
                              <w:t xml:space="preserve"> Mental </w:t>
                            </w:r>
                            <w:proofErr w:type="spellStart"/>
                            <w:r w:rsidRPr="00BA6D54">
                              <w:rPr>
                                <w:b/>
                                <w:bCs/>
                              </w:rPr>
                              <w:t>Health</w:t>
                            </w:r>
                            <w:proofErr w:type="spellEnd"/>
                            <w:r w:rsidRPr="00BA6D54">
                              <w:rPr>
                                <w:b/>
                                <w:bCs/>
                              </w:rPr>
                              <w:t xml:space="preserve"> Issues</w:t>
                            </w:r>
                          </w:p>
                          <w:p w14:paraId="37C83D94" w14:textId="3A0AF2DC" w:rsidR="000A1386" w:rsidRDefault="000A1386" w:rsidP="00BA6D54">
                            <w:proofErr w:type="spellStart"/>
                            <w:r>
                              <w:t>Collecting</w:t>
                            </w:r>
                            <w:proofErr w:type="spellEnd"/>
                            <w:r>
                              <w:t xml:space="preserve"> reliable data on </w:t>
                            </w:r>
                            <w:proofErr w:type="spellStart"/>
                            <w:r>
                              <w:t>disability</w:t>
                            </w:r>
                            <w:proofErr w:type="spellEnd"/>
                            <w:r>
                              <w:t xml:space="preserve"> </w:t>
                            </w:r>
                            <w:proofErr w:type="spellStart"/>
                            <w:r>
                              <w:t>is</w:t>
                            </w:r>
                            <w:proofErr w:type="spellEnd"/>
                            <w:r>
                              <w:t xml:space="preserve"> a global challenge. Our </w:t>
                            </w:r>
                            <w:proofErr w:type="spellStart"/>
                            <w:r>
                              <w:t>projects</w:t>
                            </w:r>
                            <w:proofErr w:type="spellEnd"/>
                            <w:r>
                              <w:t xml:space="preserve"> in </w:t>
                            </w:r>
                            <w:proofErr w:type="spellStart"/>
                            <w:r>
                              <w:t>Somalia</w:t>
                            </w:r>
                            <w:proofErr w:type="spellEnd"/>
                            <w:r>
                              <w:t xml:space="preserve"> are </w:t>
                            </w:r>
                            <w:proofErr w:type="spellStart"/>
                            <w:r>
                              <w:t>using</w:t>
                            </w:r>
                            <w:proofErr w:type="spellEnd"/>
                            <w:r>
                              <w:t xml:space="preserve"> questionnaires </w:t>
                            </w:r>
                            <w:proofErr w:type="spellStart"/>
                            <w:r>
                              <w:t>developed</w:t>
                            </w:r>
                            <w:proofErr w:type="spellEnd"/>
                            <w:r>
                              <w:t xml:space="preserve"> by the U</w:t>
                            </w:r>
                            <w:proofErr w:type="spellStart"/>
                            <w:r>
                              <w:t>N’s</w:t>
                            </w:r>
                            <w:proofErr w:type="spellEnd"/>
                            <w:r>
                              <w:t xml:space="preserve"> Washington Group on </w:t>
                            </w:r>
                            <w:proofErr w:type="spellStart"/>
                            <w:r>
                              <w:t>Disability</w:t>
                            </w:r>
                            <w:proofErr w:type="spellEnd"/>
                            <w:r>
                              <w:t xml:space="preserve"> </w:t>
                            </w:r>
                            <w:proofErr w:type="spellStart"/>
                            <w:r>
                              <w:t>Statistics</w:t>
                            </w:r>
                            <w:proofErr w:type="spellEnd"/>
                            <w:r w:rsidR="00BA6D54">
                              <w:t xml:space="preserve"> (</w:t>
                            </w:r>
                            <w:hyperlink r:id="rId13" w:history="1">
                              <w:r w:rsidR="00BA6D54" w:rsidRPr="0092366E">
                                <w:rPr>
                                  <w:rStyle w:val="Hyperlink"/>
                                </w:rPr>
                                <w:t>http://www.washingtongroup-disability.com/washington-group-question-sets/</w:t>
                              </w:r>
                            </w:hyperlink>
                            <w:r w:rsidR="00BA6D54">
                              <w:t>)</w:t>
                            </w:r>
                            <w:r>
                              <w:t xml:space="preserve">, </w:t>
                            </w:r>
                            <w:proofErr w:type="spellStart"/>
                            <w:r>
                              <w:t>which</w:t>
                            </w:r>
                            <w:proofErr w:type="spellEnd"/>
                            <w:r>
                              <w:t xml:space="preserve"> </w:t>
                            </w:r>
                            <w:proofErr w:type="spellStart"/>
                            <w:r>
                              <w:t>assess</w:t>
                            </w:r>
                            <w:proofErr w:type="spellEnd"/>
                            <w:r>
                              <w:t xml:space="preserve"> the </w:t>
                            </w:r>
                            <w:proofErr w:type="spellStart"/>
                            <w:r>
                              <w:t>extent</w:t>
                            </w:r>
                            <w:proofErr w:type="spellEnd"/>
                            <w:r>
                              <w:t xml:space="preserve"> to </w:t>
                            </w:r>
                            <w:proofErr w:type="spellStart"/>
                            <w:r>
                              <w:t>which</w:t>
                            </w:r>
                            <w:proofErr w:type="spellEnd"/>
                            <w:r>
                              <w:t xml:space="preserve"> </w:t>
                            </w:r>
                            <w:proofErr w:type="spellStart"/>
                            <w:r>
                              <w:t>disability</w:t>
                            </w:r>
                            <w:proofErr w:type="spellEnd"/>
                            <w:r>
                              <w:t xml:space="preserve"> affects </w:t>
                            </w:r>
                            <w:proofErr w:type="spellStart"/>
                            <w:r>
                              <w:t>functionality</w:t>
                            </w:r>
                            <w:proofErr w:type="spellEnd"/>
                            <w:r>
                              <w:t xml:space="preserve">. The </w:t>
                            </w:r>
                            <w:proofErr w:type="spellStart"/>
                            <w:r>
                              <w:t>extended</w:t>
                            </w:r>
                            <w:proofErr w:type="spellEnd"/>
                            <w:r>
                              <w:t xml:space="preserve"> set of the Washington Group questions </w:t>
                            </w:r>
                            <w:proofErr w:type="spellStart"/>
                            <w:r>
                              <w:t>includes</w:t>
                            </w:r>
                            <w:proofErr w:type="spellEnd"/>
                            <w:r>
                              <w:t xml:space="preserve"> </w:t>
                            </w:r>
                            <w:r w:rsidR="00BA6D54">
                              <w:t xml:space="preserve">questions on </w:t>
                            </w:r>
                            <w:proofErr w:type="spellStart"/>
                            <w:r w:rsidR="00BA6D54">
                              <w:t>anxiety</w:t>
                            </w:r>
                            <w:proofErr w:type="spellEnd"/>
                            <w:r w:rsidR="00BA6D54">
                              <w:t xml:space="preserve"> and </w:t>
                            </w:r>
                            <w:proofErr w:type="spellStart"/>
                            <w:r w:rsidR="00BA6D54">
                              <w:t>depression</w:t>
                            </w:r>
                            <w:proofErr w:type="spellEnd"/>
                            <w:r w:rsidR="00BA6D54">
                              <w:t xml:space="preserve">, </w:t>
                            </w:r>
                            <w:proofErr w:type="spellStart"/>
                            <w:r w:rsidR="00BA6D54">
                              <w:t>assessing</w:t>
                            </w:r>
                            <w:proofErr w:type="spellEnd"/>
                            <w:r w:rsidR="00BA6D54">
                              <w:t xml:space="preserve"> how </w:t>
                            </w:r>
                            <w:proofErr w:type="spellStart"/>
                            <w:r w:rsidR="00BA6D54">
                              <w:t>often</w:t>
                            </w:r>
                            <w:proofErr w:type="spellEnd"/>
                            <w:r w:rsidR="00BA6D54">
                              <w:t xml:space="preserve"> </w:t>
                            </w:r>
                            <w:proofErr w:type="spellStart"/>
                            <w:r w:rsidR="00BA6D54">
                              <w:t>respondents</w:t>
                            </w:r>
                            <w:proofErr w:type="spellEnd"/>
                            <w:r w:rsidR="00BA6D54">
                              <w:t xml:space="preserve"> </w:t>
                            </w:r>
                            <w:proofErr w:type="spellStart"/>
                            <w:r w:rsidR="00BA6D54">
                              <w:t>feel</w:t>
                            </w:r>
                            <w:proofErr w:type="spellEnd"/>
                            <w:r w:rsidR="00BA6D54">
                              <w:t xml:space="preserve"> </w:t>
                            </w:r>
                            <w:proofErr w:type="spellStart"/>
                            <w:r w:rsidR="00BA6D54">
                              <w:t>anxious</w:t>
                            </w:r>
                            <w:proofErr w:type="spellEnd"/>
                            <w:r w:rsidR="00BA6D54">
                              <w:t xml:space="preserve"> or </w:t>
                            </w:r>
                            <w:proofErr w:type="spellStart"/>
                            <w:r w:rsidR="00BA6D54">
                              <w:t>depressed</w:t>
                            </w:r>
                            <w:proofErr w:type="spellEnd"/>
                            <w:r w:rsidR="00BA6D54">
                              <w:t xml:space="preserve">. SOMGEP-T and </w:t>
                            </w:r>
                            <w:proofErr w:type="spellStart"/>
                            <w:r w:rsidR="00BA6D54">
                              <w:t>other</w:t>
                            </w:r>
                            <w:proofErr w:type="spellEnd"/>
                            <w:r w:rsidR="00BA6D54">
                              <w:t xml:space="preserve"> CARE </w:t>
                            </w:r>
                            <w:proofErr w:type="spellStart"/>
                            <w:r w:rsidR="00BA6D54">
                              <w:t>projects</w:t>
                            </w:r>
                            <w:proofErr w:type="spellEnd"/>
                            <w:r w:rsidR="00BA6D54">
                              <w:t xml:space="preserve"> use the Washington Group questions to </w:t>
                            </w:r>
                            <w:proofErr w:type="spellStart"/>
                            <w:r w:rsidR="00BA6D54">
                              <w:t>assess</w:t>
                            </w:r>
                            <w:proofErr w:type="spellEnd"/>
                            <w:r w:rsidR="00BA6D54">
                              <w:t xml:space="preserve"> </w:t>
                            </w:r>
                            <w:proofErr w:type="spellStart"/>
                            <w:r w:rsidR="00BA6D54">
                              <w:t>disability</w:t>
                            </w:r>
                            <w:proofErr w:type="spellEnd"/>
                            <w:r w:rsidR="00BA6D54">
                              <w:t xml:space="preserve"> </w:t>
                            </w:r>
                            <w:proofErr w:type="spellStart"/>
                            <w:r w:rsidR="00BA6D54">
                              <w:t>prevalence</w:t>
                            </w:r>
                            <w:proofErr w:type="spellEnd"/>
                            <w:r w:rsidR="00BA6D54">
                              <w:t xml:space="preserve"> </w:t>
                            </w:r>
                            <w:proofErr w:type="spellStart"/>
                            <w:r w:rsidR="00BA6D54">
                              <w:t>among</w:t>
                            </w:r>
                            <w:proofErr w:type="spellEnd"/>
                            <w:r w:rsidR="00BA6D54">
                              <w:t xml:space="preserve"> adolescent populations in </w:t>
                            </w:r>
                            <w:proofErr w:type="spellStart"/>
                            <w:r w:rsidR="00BA6D54">
                              <w:t>target</w:t>
                            </w:r>
                            <w:proofErr w:type="spellEnd"/>
                            <w:r w:rsidR="00BA6D54">
                              <w:t xml:space="preserve"> areas, </w:t>
                            </w:r>
                            <w:proofErr w:type="spellStart"/>
                            <w:r w:rsidR="00BA6D54">
                              <w:t>asking</w:t>
                            </w:r>
                            <w:proofErr w:type="spellEnd"/>
                            <w:r w:rsidR="00BA6D54">
                              <w:t xml:space="preserve"> questions of </w:t>
                            </w:r>
                            <w:proofErr w:type="spellStart"/>
                            <w:r w:rsidR="00BA6D54">
                              <w:t>caregivers</w:t>
                            </w:r>
                            <w:proofErr w:type="spellEnd"/>
                            <w:r w:rsidR="00BA6D54">
                              <w:t xml:space="preserve"> and the girls </w:t>
                            </w:r>
                            <w:proofErr w:type="spellStart"/>
                            <w:r w:rsidR="00BA6D54">
                              <w:t>themselves</w:t>
                            </w:r>
                            <w:proofErr w:type="spellEnd"/>
                            <w:r w:rsidR="00BA6D54">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053BB" id="_x0000_t202" coordsize="21600,21600" o:spt="202" path="m,l,21600r21600,l21600,xe">
                <v:stroke joinstyle="miter"/>
                <v:path gradientshapeok="t" o:connecttype="rect"/>
              </v:shapetype>
              <v:shape id="Text Box 2" o:spid="_x0000_s1028" type="#_x0000_t202" style="position:absolute;left:0;text-align:left;margin-left:244.15pt;margin-top:8pt;width:238.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">
                <v:textbox style="mso-fit-shape-to-text:t">
                  <w:txbxContent>
                    <w:p w14:paraId="5928BB7F" w14:textId="72335EC9" w:rsidR="000A1386" w:rsidRPr="00BA6D54" w:rsidRDefault="000A1386" w:rsidP="00BA6D54">
                      <w:pPr>
                        <w:jc w:val="center"/>
                        <w:rPr>
                          <w:b/>
                          <w:bCs/>
                        </w:rPr>
                      </w:pPr>
                      <w:proofErr w:type="spellStart"/>
                      <w:r w:rsidRPr="00BA6D54">
                        <w:rPr>
                          <w:b/>
                          <w:bCs/>
                        </w:rPr>
                        <w:t>Assessing</w:t>
                      </w:r>
                      <w:proofErr w:type="spellEnd"/>
                      <w:r w:rsidRPr="00BA6D54">
                        <w:rPr>
                          <w:b/>
                          <w:bCs/>
                        </w:rPr>
                        <w:t xml:space="preserve"> Mental </w:t>
                      </w:r>
                      <w:proofErr w:type="spellStart"/>
                      <w:r w:rsidRPr="00BA6D54">
                        <w:rPr>
                          <w:b/>
                          <w:bCs/>
                        </w:rPr>
                        <w:t>Health</w:t>
                      </w:r>
                      <w:proofErr w:type="spellEnd"/>
                      <w:r w:rsidRPr="00BA6D54">
                        <w:rPr>
                          <w:b/>
                          <w:bCs/>
                        </w:rPr>
                        <w:t xml:space="preserve"> Issues</w:t>
                      </w:r>
                    </w:p>
                    <w:p w14:paraId="37C83D94" w14:textId="3A0AF2DC" w:rsidR="000A1386" w:rsidRDefault="000A1386" w:rsidP="00BA6D54">
                      <w:proofErr w:type="spellStart"/>
                      <w:r>
                        <w:t>Collecting</w:t>
                      </w:r>
                      <w:proofErr w:type="spellEnd"/>
                      <w:r>
                        <w:t xml:space="preserve"> reliable data on </w:t>
                      </w:r>
                      <w:proofErr w:type="spellStart"/>
                      <w:r>
                        <w:t>disability</w:t>
                      </w:r>
                      <w:proofErr w:type="spellEnd"/>
                      <w:r>
                        <w:t xml:space="preserve"> </w:t>
                      </w:r>
                      <w:proofErr w:type="spellStart"/>
                      <w:r>
                        <w:t>is</w:t>
                      </w:r>
                      <w:proofErr w:type="spellEnd"/>
                      <w:r>
                        <w:t xml:space="preserve"> a global challenge. Our </w:t>
                      </w:r>
                      <w:proofErr w:type="spellStart"/>
                      <w:r>
                        <w:t>projects</w:t>
                      </w:r>
                      <w:proofErr w:type="spellEnd"/>
                      <w:r>
                        <w:t xml:space="preserve"> in </w:t>
                      </w:r>
                      <w:proofErr w:type="spellStart"/>
                      <w:r>
                        <w:t>Somalia</w:t>
                      </w:r>
                      <w:proofErr w:type="spellEnd"/>
                      <w:r>
                        <w:t xml:space="preserve"> are </w:t>
                      </w:r>
                      <w:proofErr w:type="spellStart"/>
                      <w:r>
                        <w:t>using</w:t>
                      </w:r>
                      <w:proofErr w:type="spellEnd"/>
                      <w:r>
                        <w:t xml:space="preserve"> questionnaires </w:t>
                      </w:r>
                      <w:proofErr w:type="spellStart"/>
                      <w:r>
                        <w:t>developed</w:t>
                      </w:r>
                      <w:proofErr w:type="spellEnd"/>
                      <w:r>
                        <w:t xml:space="preserve"> by the U</w:t>
                      </w:r>
                      <w:proofErr w:type="spellStart"/>
                      <w:r>
                        <w:t>N’s</w:t>
                      </w:r>
                      <w:proofErr w:type="spellEnd"/>
                      <w:r>
                        <w:t xml:space="preserve"> Washington Group on </w:t>
                      </w:r>
                      <w:proofErr w:type="spellStart"/>
                      <w:r>
                        <w:t>Disability</w:t>
                      </w:r>
                      <w:proofErr w:type="spellEnd"/>
                      <w:r>
                        <w:t xml:space="preserve"> </w:t>
                      </w:r>
                      <w:proofErr w:type="spellStart"/>
                      <w:r>
                        <w:t>Statistics</w:t>
                      </w:r>
                      <w:proofErr w:type="spellEnd"/>
                      <w:r w:rsidR="00BA6D54">
                        <w:t xml:space="preserve"> (</w:t>
                      </w:r>
                      <w:hyperlink r:id="rId14" w:history="1">
                        <w:r w:rsidR="00BA6D54" w:rsidRPr="0092366E">
                          <w:rPr>
                            <w:rStyle w:val="Hyperlink"/>
                          </w:rPr>
                          <w:t>http://www.washingtongroup-disability.com/washington-group-question-sets/</w:t>
                        </w:r>
                      </w:hyperlink>
                      <w:r w:rsidR="00BA6D54">
                        <w:t>)</w:t>
                      </w:r>
                      <w:r>
                        <w:t xml:space="preserve">, </w:t>
                      </w:r>
                      <w:proofErr w:type="spellStart"/>
                      <w:r>
                        <w:t>which</w:t>
                      </w:r>
                      <w:proofErr w:type="spellEnd"/>
                      <w:r>
                        <w:t xml:space="preserve"> </w:t>
                      </w:r>
                      <w:proofErr w:type="spellStart"/>
                      <w:r>
                        <w:t>assess</w:t>
                      </w:r>
                      <w:proofErr w:type="spellEnd"/>
                      <w:r>
                        <w:t xml:space="preserve"> the </w:t>
                      </w:r>
                      <w:proofErr w:type="spellStart"/>
                      <w:r>
                        <w:t>extent</w:t>
                      </w:r>
                      <w:proofErr w:type="spellEnd"/>
                      <w:r>
                        <w:t xml:space="preserve"> to </w:t>
                      </w:r>
                      <w:proofErr w:type="spellStart"/>
                      <w:r>
                        <w:t>which</w:t>
                      </w:r>
                      <w:proofErr w:type="spellEnd"/>
                      <w:r>
                        <w:t xml:space="preserve"> </w:t>
                      </w:r>
                      <w:proofErr w:type="spellStart"/>
                      <w:r>
                        <w:t>disability</w:t>
                      </w:r>
                      <w:proofErr w:type="spellEnd"/>
                      <w:r>
                        <w:t xml:space="preserve"> affects </w:t>
                      </w:r>
                      <w:proofErr w:type="spellStart"/>
                      <w:r>
                        <w:t>functionality</w:t>
                      </w:r>
                      <w:proofErr w:type="spellEnd"/>
                      <w:r>
                        <w:t xml:space="preserve">. The </w:t>
                      </w:r>
                      <w:proofErr w:type="spellStart"/>
                      <w:r>
                        <w:t>extended</w:t>
                      </w:r>
                      <w:proofErr w:type="spellEnd"/>
                      <w:r>
                        <w:t xml:space="preserve"> set of the Washington Group questions </w:t>
                      </w:r>
                      <w:proofErr w:type="spellStart"/>
                      <w:r>
                        <w:t>includes</w:t>
                      </w:r>
                      <w:proofErr w:type="spellEnd"/>
                      <w:r>
                        <w:t xml:space="preserve"> </w:t>
                      </w:r>
                      <w:r w:rsidR="00BA6D54">
                        <w:t xml:space="preserve">questions on </w:t>
                      </w:r>
                      <w:proofErr w:type="spellStart"/>
                      <w:r w:rsidR="00BA6D54">
                        <w:t>anxiety</w:t>
                      </w:r>
                      <w:proofErr w:type="spellEnd"/>
                      <w:r w:rsidR="00BA6D54">
                        <w:t xml:space="preserve"> and </w:t>
                      </w:r>
                      <w:proofErr w:type="spellStart"/>
                      <w:r w:rsidR="00BA6D54">
                        <w:t>depression</w:t>
                      </w:r>
                      <w:proofErr w:type="spellEnd"/>
                      <w:r w:rsidR="00BA6D54">
                        <w:t xml:space="preserve">, </w:t>
                      </w:r>
                      <w:proofErr w:type="spellStart"/>
                      <w:r w:rsidR="00BA6D54">
                        <w:t>assessing</w:t>
                      </w:r>
                      <w:proofErr w:type="spellEnd"/>
                      <w:r w:rsidR="00BA6D54">
                        <w:t xml:space="preserve"> how </w:t>
                      </w:r>
                      <w:proofErr w:type="spellStart"/>
                      <w:r w:rsidR="00BA6D54">
                        <w:t>often</w:t>
                      </w:r>
                      <w:proofErr w:type="spellEnd"/>
                      <w:r w:rsidR="00BA6D54">
                        <w:t xml:space="preserve"> </w:t>
                      </w:r>
                      <w:proofErr w:type="spellStart"/>
                      <w:r w:rsidR="00BA6D54">
                        <w:t>respondents</w:t>
                      </w:r>
                      <w:proofErr w:type="spellEnd"/>
                      <w:r w:rsidR="00BA6D54">
                        <w:t xml:space="preserve"> </w:t>
                      </w:r>
                      <w:proofErr w:type="spellStart"/>
                      <w:r w:rsidR="00BA6D54">
                        <w:t>feel</w:t>
                      </w:r>
                      <w:proofErr w:type="spellEnd"/>
                      <w:r w:rsidR="00BA6D54">
                        <w:t xml:space="preserve"> </w:t>
                      </w:r>
                      <w:proofErr w:type="spellStart"/>
                      <w:r w:rsidR="00BA6D54">
                        <w:t>anxious</w:t>
                      </w:r>
                      <w:proofErr w:type="spellEnd"/>
                      <w:r w:rsidR="00BA6D54">
                        <w:t xml:space="preserve"> or </w:t>
                      </w:r>
                      <w:proofErr w:type="spellStart"/>
                      <w:r w:rsidR="00BA6D54">
                        <w:t>depressed</w:t>
                      </w:r>
                      <w:proofErr w:type="spellEnd"/>
                      <w:r w:rsidR="00BA6D54">
                        <w:t xml:space="preserve">. SOMGEP-T and </w:t>
                      </w:r>
                      <w:proofErr w:type="spellStart"/>
                      <w:r w:rsidR="00BA6D54">
                        <w:t>other</w:t>
                      </w:r>
                      <w:proofErr w:type="spellEnd"/>
                      <w:r w:rsidR="00BA6D54">
                        <w:t xml:space="preserve"> CARE </w:t>
                      </w:r>
                      <w:proofErr w:type="spellStart"/>
                      <w:r w:rsidR="00BA6D54">
                        <w:t>projects</w:t>
                      </w:r>
                      <w:proofErr w:type="spellEnd"/>
                      <w:r w:rsidR="00BA6D54">
                        <w:t xml:space="preserve"> use the Washington Group questions to </w:t>
                      </w:r>
                      <w:proofErr w:type="spellStart"/>
                      <w:r w:rsidR="00BA6D54">
                        <w:t>assess</w:t>
                      </w:r>
                      <w:proofErr w:type="spellEnd"/>
                      <w:r w:rsidR="00BA6D54">
                        <w:t xml:space="preserve"> </w:t>
                      </w:r>
                      <w:proofErr w:type="spellStart"/>
                      <w:r w:rsidR="00BA6D54">
                        <w:t>disability</w:t>
                      </w:r>
                      <w:proofErr w:type="spellEnd"/>
                      <w:r w:rsidR="00BA6D54">
                        <w:t xml:space="preserve"> </w:t>
                      </w:r>
                      <w:proofErr w:type="spellStart"/>
                      <w:r w:rsidR="00BA6D54">
                        <w:t>prevalence</w:t>
                      </w:r>
                      <w:proofErr w:type="spellEnd"/>
                      <w:r w:rsidR="00BA6D54">
                        <w:t xml:space="preserve"> </w:t>
                      </w:r>
                      <w:proofErr w:type="spellStart"/>
                      <w:r w:rsidR="00BA6D54">
                        <w:t>among</w:t>
                      </w:r>
                      <w:proofErr w:type="spellEnd"/>
                      <w:r w:rsidR="00BA6D54">
                        <w:t xml:space="preserve"> adolescent populations in </w:t>
                      </w:r>
                      <w:proofErr w:type="spellStart"/>
                      <w:r w:rsidR="00BA6D54">
                        <w:t>target</w:t>
                      </w:r>
                      <w:proofErr w:type="spellEnd"/>
                      <w:r w:rsidR="00BA6D54">
                        <w:t xml:space="preserve"> areas, </w:t>
                      </w:r>
                      <w:proofErr w:type="spellStart"/>
                      <w:r w:rsidR="00BA6D54">
                        <w:t>asking</w:t>
                      </w:r>
                      <w:proofErr w:type="spellEnd"/>
                      <w:r w:rsidR="00BA6D54">
                        <w:t xml:space="preserve"> questions of </w:t>
                      </w:r>
                      <w:proofErr w:type="spellStart"/>
                      <w:r w:rsidR="00BA6D54">
                        <w:t>caregivers</w:t>
                      </w:r>
                      <w:proofErr w:type="spellEnd"/>
                      <w:r w:rsidR="00BA6D54">
                        <w:t xml:space="preserve"> and the girls </w:t>
                      </w:r>
                      <w:proofErr w:type="spellStart"/>
                      <w:r w:rsidR="00BA6D54">
                        <w:t>themselves</w:t>
                      </w:r>
                      <w:proofErr w:type="spellEnd"/>
                      <w:r w:rsidR="00BA6D54">
                        <w:t>.</w:t>
                      </w:r>
                    </w:p>
                  </w:txbxContent>
                </v:textbox>
                <w10:wrap type="square"/>
              </v:shape>
            </w:pict>
          </mc:Fallback>
        </mc:AlternateContent>
      </w:r>
      <w:r w:rsidR="00D3081F" w:rsidRPr="00D3081F">
        <w:rPr>
          <w:sz w:val="24"/>
          <w:szCs w:val="24"/>
          <w:lang w:val="en-US"/>
        </w:rPr>
        <w:t>Disability and mental health disability information in Somali</w:t>
      </w:r>
      <w:r w:rsidR="00BA6D54">
        <w:rPr>
          <w:sz w:val="24"/>
          <w:szCs w:val="24"/>
          <w:lang w:val="en-US"/>
        </w:rPr>
        <w:t>a</w:t>
      </w:r>
      <w:r w:rsidR="00D3081F" w:rsidRPr="00D3081F">
        <w:rPr>
          <w:sz w:val="24"/>
          <w:szCs w:val="24"/>
          <w:lang w:val="en-US"/>
        </w:rPr>
        <w:t xml:space="preserve"> and Somaliland are sparse.  Disability overall is estimated to be greater than global estimates of 15% due to the impacts from poverty, lack of access to healthcare, and long periods of conflict</w:t>
      </w:r>
      <w:r w:rsidR="00D3081F" w:rsidRPr="00D3081F">
        <w:rPr>
          <w:sz w:val="24"/>
          <w:szCs w:val="24"/>
          <w:vertAlign w:val="superscript"/>
          <w:lang w:val="en-US"/>
        </w:rPr>
        <w:endnoteReference w:id="5"/>
      </w:r>
      <w:r w:rsidR="00D3081F" w:rsidRPr="00D3081F">
        <w:rPr>
          <w:sz w:val="24"/>
          <w:szCs w:val="24"/>
          <w:lang w:val="en-US"/>
        </w:rPr>
        <w:t>.  A 2012 Somaliland study reported that 42% of households have at least one household member with a disability</w:t>
      </w:r>
      <w:r w:rsidR="00D3081F" w:rsidRPr="00D3081F">
        <w:rPr>
          <w:sz w:val="24"/>
          <w:szCs w:val="24"/>
          <w:vertAlign w:val="superscript"/>
          <w:lang w:val="en-US"/>
        </w:rPr>
        <w:endnoteReference w:id="6"/>
      </w:r>
      <w:r w:rsidR="00D3081F" w:rsidRPr="00D3081F">
        <w:rPr>
          <w:sz w:val="24"/>
          <w:szCs w:val="24"/>
          <w:lang w:val="en-US"/>
        </w:rPr>
        <w:t xml:space="preserve">. </w:t>
      </w:r>
    </w:p>
    <w:p w14:paraId="01E9E499" w14:textId="77777777" w:rsidR="00D3081F" w:rsidRPr="00D3081F" w:rsidRDefault="00D3081F" w:rsidP="00D3081F">
      <w:pPr>
        <w:spacing w:after="0" w:line="240" w:lineRule="auto"/>
        <w:jc w:val="both"/>
        <w:rPr>
          <w:sz w:val="24"/>
          <w:szCs w:val="24"/>
          <w:lang w:val="en-US"/>
        </w:rPr>
      </w:pPr>
    </w:p>
    <w:p w14:paraId="04F37882" w14:textId="5301D886" w:rsidR="00D3081F" w:rsidRPr="00D3081F" w:rsidRDefault="00D3081F" w:rsidP="00D3081F">
      <w:pPr>
        <w:spacing w:after="0" w:line="240" w:lineRule="auto"/>
        <w:jc w:val="both"/>
        <w:rPr>
          <w:sz w:val="24"/>
          <w:szCs w:val="24"/>
          <w:lang w:val="en-US"/>
        </w:rPr>
      </w:pPr>
      <w:r w:rsidRPr="00D3081F">
        <w:rPr>
          <w:sz w:val="24"/>
          <w:szCs w:val="24"/>
          <w:lang w:val="en-US"/>
        </w:rPr>
        <w:t>Within SOMGEP-T evaluation cohorts of in-school, out-of-school and girls enrolled in alternative learning programs, the disability prevalence was less than 15% at each time point. This rate, lower than previous estimates, is thought to result from (</w:t>
      </w:r>
      <w:proofErr w:type="spellStart"/>
      <w:r w:rsidRPr="00D3081F">
        <w:rPr>
          <w:sz w:val="24"/>
          <w:szCs w:val="24"/>
          <w:lang w:val="en-US"/>
        </w:rPr>
        <w:t>i</w:t>
      </w:r>
      <w:proofErr w:type="spellEnd"/>
      <w:r w:rsidRPr="00D3081F">
        <w:rPr>
          <w:sz w:val="24"/>
          <w:szCs w:val="24"/>
          <w:lang w:val="en-US"/>
        </w:rPr>
        <w:t xml:space="preserve">) the absence of options for medical support in rural areas, forcing families of children with disabilities to move to some urban areas to access assistance and specialized services; and (ii) low survival rates of young children with complex disabilities in a context of severe malnutrition, recurrent displacement/ migration, and inability to access corrective treatment for life-threatening cardiac/ vascular malformations).  </w:t>
      </w:r>
    </w:p>
    <w:p w14:paraId="683FA69D" w14:textId="480A74CF" w:rsidR="00D3081F" w:rsidRPr="00267BC8" w:rsidRDefault="00D3081F" w:rsidP="00267BC8">
      <w:pPr>
        <w:keepNext/>
        <w:spacing w:after="0" w:line="240" w:lineRule="auto"/>
        <w:rPr>
          <w:sz w:val="24"/>
          <w:szCs w:val="24"/>
          <w:lang w:val="en-US"/>
        </w:rPr>
      </w:pPr>
    </w:p>
    <w:p w14:paraId="6CE7C288" w14:textId="2A4A69B4" w:rsidR="00D3081F" w:rsidRPr="00267BC8" w:rsidRDefault="00D3081F" w:rsidP="00D3081F">
      <w:pPr>
        <w:spacing w:after="200" w:line="240" w:lineRule="auto"/>
        <w:jc w:val="center"/>
        <w:rPr>
          <w:b/>
          <w:bCs/>
          <w:i/>
          <w:iCs/>
          <w:color w:val="ED7D31" w:themeColor="accent2"/>
          <w:sz w:val="24"/>
          <w:szCs w:val="24"/>
          <w:lang w:val="en-US"/>
        </w:rPr>
      </w:pPr>
      <w:r w:rsidRPr="00267BC8">
        <w:rPr>
          <w:b/>
          <w:bCs/>
          <w:i/>
          <w:iCs/>
          <w:color w:val="ED7D31" w:themeColor="accent2"/>
          <w:sz w:val="24"/>
          <w:szCs w:val="24"/>
          <w:lang w:val="en-US"/>
        </w:rPr>
        <w:t xml:space="preserve">Figure </w:t>
      </w:r>
      <w:r w:rsidRPr="00267BC8">
        <w:rPr>
          <w:b/>
          <w:bCs/>
          <w:i/>
          <w:iCs/>
          <w:color w:val="ED7D31" w:themeColor="accent2"/>
          <w:sz w:val="24"/>
          <w:szCs w:val="24"/>
          <w:lang w:val="en-US"/>
        </w:rPr>
        <w:fldChar w:fldCharType="begin"/>
      </w:r>
      <w:r w:rsidRPr="00267BC8">
        <w:rPr>
          <w:b/>
          <w:bCs/>
          <w:i/>
          <w:iCs/>
          <w:color w:val="ED7D31" w:themeColor="accent2"/>
          <w:sz w:val="24"/>
          <w:szCs w:val="24"/>
          <w:lang w:val="en-US"/>
        </w:rPr>
        <w:instrText xml:space="preserve"> SEQ Figure \* ARABIC </w:instrText>
      </w:r>
      <w:r w:rsidRPr="00267BC8">
        <w:rPr>
          <w:b/>
          <w:bCs/>
          <w:i/>
          <w:iCs/>
          <w:color w:val="ED7D31" w:themeColor="accent2"/>
          <w:sz w:val="24"/>
          <w:szCs w:val="24"/>
          <w:lang w:val="en-US"/>
        </w:rPr>
        <w:fldChar w:fldCharType="separate"/>
      </w:r>
      <w:r w:rsidRPr="00267BC8">
        <w:rPr>
          <w:b/>
          <w:bCs/>
          <w:i/>
          <w:iCs/>
          <w:noProof/>
          <w:color w:val="ED7D31" w:themeColor="accent2"/>
          <w:sz w:val="24"/>
          <w:szCs w:val="24"/>
          <w:lang w:val="en-US"/>
        </w:rPr>
        <w:t>1</w:t>
      </w:r>
      <w:r w:rsidRPr="00267BC8">
        <w:rPr>
          <w:b/>
          <w:bCs/>
          <w:i/>
          <w:iCs/>
          <w:color w:val="ED7D31" w:themeColor="accent2"/>
          <w:sz w:val="24"/>
          <w:szCs w:val="24"/>
          <w:lang w:val="en-US"/>
        </w:rPr>
        <w:fldChar w:fldCharType="end"/>
      </w:r>
      <w:r w:rsidRPr="00267BC8">
        <w:rPr>
          <w:b/>
          <w:bCs/>
          <w:i/>
          <w:iCs/>
          <w:color w:val="ED7D31" w:themeColor="accent2"/>
          <w:sz w:val="24"/>
          <w:szCs w:val="24"/>
          <w:lang w:val="en-US"/>
        </w:rPr>
        <w:t xml:space="preserve"> - Mental health disability prevalence among adolescent girls in rural and remote areas of Somaliland, Puntland and Galmudug</w:t>
      </w:r>
    </w:p>
    <w:p w14:paraId="121ECB21" w14:textId="2DA4A81F" w:rsidR="00D3081F" w:rsidRPr="00D3081F" w:rsidRDefault="00267BC8" w:rsidP="00D3081F">
      <w:pPr>
        <w:spacing w:after="0" w:line="240" w:lineRule="auto"/>
        <w:jc w:val="center"/>
        <w:rPr>
          <w:sz w:val="24"/>
          <w:szCs w:val="24"/>
          <w:lang w:val="en-US"/>
        </w:rPr>
      </w:pPr>
      <w:r w:rsidRPr="00D3081F">
        <w:rPr>
          <w:noProof/>
          <w:lang w:val="en-GB" w:eastAsia="en-GB"/>
        </w:rPr>
        <w:drawing>
          <wp:inline distT="0" distB="0" distL="0" distR="0" wp14:anchorId="20D286E1" wp14:editId="36CED7A9">
            <wp:extent cx="4559300" cy="2679700"/>
            <wp:effectExtent l="0" t="0" r="0" b="0"/>
            <wp:docPr id="10" name="Chart 10">
              <a:extLst xmlns:a="http://schemas.openxmlformats.org/drawingml/2006/main">
                <a:ext uri="{FF2B5EF4-FFF2-40B4-BE49-F238E27FC236}">
                  <a16:creationId xmlns:a16="http://schemas.microsoft.com/office/drawing/2014/main" id="{D91FC713-A072-4E65-8EB8-55F2B7224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02EE4E" w14:textId="77777777" w:rsidR="00267BC8" w:rsidRDefault="00267BC8" w:rsidP="00D3081F">
      <w:pPr>
        <w:spacing w:after="0" w:line="240" w:lineRule="auto"/>
        <w:jc w:val="both"/>
        <w:rPr>
          <w:sz w:val="24"/>
          <w:szCs w:val="24"/>
          <w:lang w:val="en-US"/>
        </w:rPr>
      </w:pPr>
    </w:p>
    <w:p w14:paraId="42635DDF" w14:textId="0AFD7F22" w:rsidR="00D3081F" w:rsidRPr="00D3081F" w:rsidRDefault="00D3081F" w:rsidP="00D3081F">
      <w:pPr>
        <w:spacing w:after="0" w:line="240" w:lineRule="auto"/>
        <w:jc w:val="both"/>
        <w:rPr>
          <w:sz w:val="24"/>
          <w:szCs w:val="24"/>
          <w:lang w:val="en-US"/>
        </w:rPr>
      </w:pPr>
      <w:r w:rsidRPr="00D3081F">
        <w:rPr>
          <w:sz w:val="24"/>
          <w:szCs w:val="24"/>
          <w:lang w:val="en-US"/>
        </w:rPr>
        <w:t>Mental health disability (assessed here through caregiver reports of child being anxious or depressed daily, weekly or monthly</w:t>
      </w:r>
      <w:r w:rsidRPr="00D3081F">
        <w:rPr>
          <w:sz w:val="24"/>
          <w:szCs w:val="24"/>
          <w:vertAlign w:val="superscript"/>
          <w:lang w:val="en-US"/>
        </w:rPr>
        <w:endnoteReference w:id="7"/>
      </w:r>
      <w:r w:rsidRPr="00D3081F">
        <w:rPr>
          <w:sz w:val="24"/>
          <w:szCs w:val="24"/>
          <w:lang w:val="en-US"/>
        </w:rPr>
        <w:t>) has consistently been the most prevalent form of disability found in this context (Figure 1). At the project’s baseline, conducted at the peak of the 2017 drought, which resulted in the displacement of nearly a million people</w:t>
      </w:r>
      <w:r w:rsidRPr="00D3081F">
        <w:rPr>
          <w:sz w:val="24"/>
          <w:szCs w:val="24"/>
          <w:vertAlign w:val="superscript"/>
          <w:lang w:val="en-US"/>
        </w:rPr>
        <w:footnoteReference w:id="1"/>
      </w:r>
      <w:r w:rsidRPr="00D3081F">
        <w:rPr>
          <w:sz w:val="24"/>
          <w:szCs w:val="24"/>
          <w:lang w:val="en-US"/>
        </w:rPr>
        <w:t xml:space="preserve">, over 16% of the adolescent girls showed signs of severe anxiety and 13% were facing depression. The prevalence of anxiety and depression has decreased in the 2019 evaluation round, but remains quite high (6.5% and 5%, respectively). The decrease is likely to reflect the milder climate conditions at the time and the outmigration of affected cohort girls, as well as the potential contribution of life skills activities conducted by the program, which seem to have a particularly positive effect on children with mental health disabilities. </w:t>
      </w:r>
    </w:p>
    <w:p w14:paraId="79150648" w14:textId="77777777" w:rsidR="00D3081F" w:rsidRPr="00D3081F" w:rsidRDefault="00D3081F" w:rsidP="00D3081F">
      <w:pPr>
        <w:spacing w:after="0" w:line="240" w:lineRule="auto"/>
        <w:jc w:val="both"/>
        <w:rPr>
          <w:sz w:val="24"/>
          <w:szCs w:val="24"/>
          <w:lang w:val="en-US"/>
        </w:rPr>
      </w:pPr>
    </w:p>
    <w:p w14:paraId="369EE2EE" w14:textId="77777777" w:rsidR="00D3081F" w:rsidRPr="00D3081F" w:rsidRDefault="00D3081F" w:rsidP="00D3081F">
      <w:pPr>
        <w:spacing w:after="0" w:line="240" w:lineRule="auto"/>
        <w:jc w:val="both"/>
        <w:rPr>
          <w:sz w:val="24"/>
          <w:szCs w:val="24"/>
          <w:lang w:val="en-US"/>
        </w:rPr>
      </w:pPr>
      <w:r w:rsidRPr="00D3081F">
        <w:rPr>
          <w:sz w:val="24"/>
          <w:szCs w:val="24"/>
          <w:lang w:val="en-US"/>
        </w:rPr>
        <w:t xml:space="preserve">SOMGEP-T baseline and midterm findings confirm many of the predicted implications that girls with mental health disabilities face: </w:t>
      </w:r>
    </w:p>
    <w:p w14:paraId="08749829" w14:textId="77777777" w:rsidR="00D3081F" w:rsidRPr="00D3081F" w:rsidRDefault="00D3081F" w:rsidP="00D3081F">
      <w:pPr>
        <w:numPr>
          <w:ilvl w:val="0"/>
          <w:numId w:val="5"/>
        </w:numPr>
        <w:spacing w:after="0" w:line="240" w:lineRule="auto"/>
        <w:contextualSpacing/>
        <w:jc w:val="both"/>
        <w:rPr>
          <w:rFonts w:eastAsia="Times New Roman" w:cstheme="minorHAnsi"/>
          <w:sz w:val="24"/>
          <w:szCs w:val="24"/>
          <w:lang w:val="en-GB" w:eastAsia="en-GB"/>
        </w:rPr>
      </w:pPr>
      <w:r w:rsidRPr="00D3081F">
        <w:rPr>
          <w:rFonts w:eastAsia="Times New Roman" w:cstheme="minorHAnsi"/>
          <w:b/>
          <w:bCs/>
          <w:sz w:val="24"/>
          <w:szCs w:val="24"/>
          <w:lang w:val="en-GB" w:eastAsia="en-GB"/>
        </w:rPr>
        <w:t>Lower learning outcomes:</w:t>
      </w:r>
      <w:r w:rsidRPr="00D3081F">
        <w:rPr>
          <w:rFonts w:eastAsia="Times New Roman" w:cstheme="minorHAnsi"/>
          <w:sz w:val="24"/>
          <w:szCs w:val="24"/>
          <w:lang w:val="en-GB" w:eastAsia="en-GB"/>
        </w:rPr>
        <w:t xml:space="preserve">  SOMGEP-T’s baseline study showed a link between mental health disability and lower literacy and numeracy scores for girls. Girls facing anxiety had major learning losses, performing 5-11 percentage points below their peers. A similar pattern was observed among those facing depression, with a decrease of over 7 percentage points in numeracy. (See Figure 2)</w:t>
      </w:r>
    </w:p>
    <w:p w14:paraId="7BFE0C3F" w14:textId="77777777" w:rsidR="00D3081F" w:rsidRPr="00D3081F" w:rsidRDefault="00D3081F" w:rsidP="00D3081F">
      <w:pPr>
        <w:spacing w:after="0" w:line="240" w:lineRule="auto"/>
        <w:ind w:left="360"/>
        <w:contextualSpacing/>
        <w:jc w:val="both"/>
        <w:rPr>
          <w:rFonts w:eastAsia="Times New Roman" w:cstheme="minorHAnsi"/>
          <w:b/>
          <w:bCs/>
          <w:sz w:val="24"/>
          <w:szCs w:val="24"/>
          <w:lang w:val="en-GB" w:eastAsia="en-GB"/>
        </w:rPr>
      </w:pPr>
    </w:p>
    <w:p w14:paraId="5C28C54C" w14:textId="549C1FAA" w:rsidR="00D3081F" w:rsidRDefault="00D3081F" w:rsidP="00D3081F">
      <w:pPr>
        <w:spacing w:after="0" w:line="240" w:lineRule="auto"/>
        <w:ind w:left="360"/>
        <w:contextualSpacing/>
        <w:jc w:val="both"/>
        <w:rPr>
          <w:rFonts w:eastAsia="Times New Roman" w:cstheme="minorHAnsi"/>
          <w:sz w:val="24"/>
          <w:szCs w:val="24"/>
          <w:lang w:val="en-GB" w:eastAsia="en-GB"/>
        </w:rPr>
      </w:pPr>
      <w:r w:rsidRPr="00D3081F">
        <w:rPr>
          <w:rFonts w:eastAsia="Times New Roman" w:cstheme="minorHAnsi"/>
          <w:sz w:val="24"/>
          <w:szCs w:val="24"/>
          <w:lang w:val="en-GB" w:eastAsia="en-GB"/>
        </w:rPr>
        <w:t>Similar results were observed in a study conducted in South Somalia (</w:t>
      </w:r>
      <w:proofErr w:type="spellStart"/>
      <w:r w:rsidRPr="00D3081F">
        <w:rPr>
          <w:rFonts w:eastAsia="Times New Roman" w:cstheme="minorHAnsi"/>
          <w:sz w:val="24"/>
          <w:szCs w:val="24"/>
          <w:lang w:val="en-GB" w:eastAsia="en-GB"/>
        </w:rPr>
        <w:t>Banaadir</w:t>
      </w:r>
      <w:proofErr w:type="spellEnd"/>
      <w:r w:rsidRPr="00D3081F">
        <w:rPr>
          <w:rFonts w:eastAsia="Times New Roman" w:cstheme="minorHAnsi"/>
          <w:sz w:val="24"/>
          <w:szCs w:val="24"/>
          <w:lang w:val="en-GB" w:eastAsia="en-GB"/>
        </w:rPr>
        <w:t xml:space="preserve">, </w:t>
      </w:r>
      <w:proofErr w:type="spellStart"/>
      <w:r w:rsidRPr="00D3081F">
        <w:rPr>
          <w:rFonts w:eastAsia="Times New Roman" w:cstheme="minorHAnsi"/>
          <w:sz w:val="24"/>
          <w:szCs w:val="24"/>
          <w:lang w:val="en-GB" w:eastAsia="en-GB"/>
        </w:rPr>
        <w:t>Jubaland</w:t>
      </w:r>
      <w:proofErr w:type="spellEnd"/>
      <w:r w:rsidRPr="00D3081F">
        <w:rPr>
          <w:rFonts w:eastAsia="Times New Roman" w:cstheme="minorHAnsi"/>
          <w:sz w:val="24"/>
          <w:szCs w:val="24"/>
          <w:lang w:val="en-GB" w:eastAsia="en-GB"/>
        </w:rPr>
        <w:t xml:space="preserve"> and Southwest), where it was found that mental health issues are a predictor of lower literacy outcomes for adolescent girls. Those facing anxiety and/or depression had an average literacy score of 38%, compared to an overall average score of 44% for all girls.  </w:t>
      </w:r>
    </w:p>
    <w:p w14:paraId="0477A73C" w14:textId="77777777" w:rsidR="00267BC8" w:rsidRPr="00267BC8" w:rsidRDefault="00267BC8" w:rsidP="00D3081F">
      <w:pPr>
        <w:spacing w:after="0" w:line="240" w:lineRule="auto"/>
        <w:ind w:left="360"/>
        <w:contextualSpacing/>
        <w:jc w:val="both"/>
        <w:rPr>
          <w:rFonts w:eastAsia="Times New Roman" w:cstheme="minorHAnsi"/>
          <w:sz w:val="24"/>
          <w:szCs w:val="24"/>
          <w:lang w:val="en-GB" w:eastAsia="en-GB"/>
        </w:rPr>
      </w:pPr>
    </w:p>
    <w:p w14:paraId="0F78AC6F" w14:textId="1E48F122" w:rsidR="0002155A" w:rsidRPr="00267BC8" w:rsidRDefault="00267BC8" w:rsidP="00267BC8">
      <w:pPr>
        <w:spacing w:after="200" w:line="240" w:lineRule="auto"/>
        <w:jc w:val="center"/>
        <w:rPr>
          <w:b/>
          <w:bCs/>
          <w:i/>
          <w:iCs/>
          <w:color w:val="ED7D31" w:themeColor="accent2"/>
          <w:sz w:val="24"/>
          <w:szCs w:val="24"/>
          <w:lang w:val="en-US"/>
        </w:rPr>
      </w:pPr>
      <w:r w:rsidRPr="00267BC8">
        <w:rPr>
          <w:b/>
          <w:bCs/>
          <w:i/>
          <w:iCs/>
          <w:color w:val="ED7D31" w:themeColor="accent2"/>
          <w:sz w:val="24"/>
          <w:szCs w:val="24"/>
          <w:lang w:val="en-US"/>
        </w:rPr>
        <w:t xml:space="preserve">Figure </w:t>
      </w:r>
      <w:r w:rsidRPr="00267BC8">
        <w:rPr>
          <w:b/>
          <w:bCs/>
          <w:i/>
          <w:iCs/>
          <w:color w:val="ED7D31" w:themeColor="accent2"/>
          <w:sz w:val="24"/>
          <w:szCs w:val="24"/>
          <w:lang w:val="en-US"/>
        </w:rPr>
        <w:fldChar w:fldCharType="begin"/>
      </w:r>
      <w:r w:rsidRPr="00267BC8">
        <w:rPr>
          <w:b/>
          <w:bCs/>
          <w:i/>
          <w:iCs/>
          <w:color w:val="ED7D31" w:themeColor="accent2"/>
          <w:sz w:val="24"/>
          <w:szCs w:val="24"/>
          <w:lang w:val="en-US"/>
        </w:rPr>
        <w:instrText xml:space="preserve"> SEQ Figure \* ARABIC </w:instrText>
      </w:r>
      <w:r w:rsidRPr="00267BC8">
        <w:rPr>
          <w:b/>
          <w:bCs/>
          <w:i/>
          <w:iCs/>
          <w:color w:val="ED7D31" w:themeColor="accent2"/>
          <w:sz w:val="24"/>
          <w:szCs w:val="24"/>
          <w:lang w:val="en-US"/>
        </w:rPr>
        <w:fldChar w:fldCharType="separate"/>
      </w:r>
      <w:r w:rsidRPr="00267BC8">
        <w:rPr>
          <w:b/>
          <w:bCs/>
          <w:i/>
          <w:iCs/>
          <w:noProof/>
          <w:color w:val="ED7D31" w:themeColor="accent2"/>
          <w:sz w:val="24"/>
          <w:szCs w:val="24"/>
          <w:lang w:val="en-US"/>
        </w:rPr>
        <w:t>2</w:t>
      </w:r>
      <w:r w:rsidRPr="00267BC8">
        <w:rPr>
          <w:b/>
          <w:bCs/>
          <w:i/>
          <w:iCs/>
          <w:color w:val="ED7D31" w:themeColor="accent2"/>
          <w:sz w:val="24"/>
          <w:szCs w:val="24"/>
          <w:lang w:val="en-US"/>
        </w:rPr>
        <w:fldChar w:fldCharType="end"/>
      </w:r>
      <w:r w:rsidRPr="00267BC8">
        <w:rPr>
          <w:b/>
          <w:bCs/>
          <w:i/>
          <w:iCs/>
          <w:color w:val="ED7D31" w:themeColor="accent2"/>
          <w:sz w:val="24"/>
          <w:szCs w:val="24"/>
          <w:lang w:val="en-US"/>
        </w:rPr>
        <w:t xml:space="preserve"> – Average literacy and numeracy scores of in</w:t>
      </w:r>
      <w:r w:rsidR="00BA6D54">
        <w:rPr>
          <w:b/>
          <w:bCs/>
          <w:i/>
          <w:iCs/>
          <w:color w:val="ED7D31" w:themeColor="accent2"/>
          <w:sz w:val="24"/>
          <w:szCs w:val="24"/>
          <w:lang w:val="en-US"/>
        </w:rPr>
        <w:t>-</w:t>
      </w:r>
      <w:r w:rsidRPr="00267BC8">
        <w:rPr>
          <w:b/>
          <w:bCs/>
          <w:i/>
          <w:iCs/>
          <w:color w:val="ED7D31" w:themeColor="accent2"/>
          <w:sz w:val="24"/>
          <w:szCs w:val="24"/>
          <w:lang w:val="en-US"/>
        </w:rPr>
        <w:t xml:space="preserve">school girls disaggregated for anxiety and depression. </w:t>
      </w:r>
    </w:p>
    <w:p w14:paraId="2325CA8E" w14:textId="77777777" w:rsidR="00D3081F" w:rsidRPr="00D3081F" w:rsidRDefault="00D3081F" w:rsidP="00267BC8">
      <w:pPr>
        <w:keepNext/>
        <w:spacing w:after="0" w:line="240" w:lineRule="auto"/>
        <w:ind w:left="360"/>
        <w:contextualSpacing/>
        <w:jc w:val="center"/>
        <w:rPr>
          <w:rFonts w:ascii="Times New Roman" w:eastAsia="Times New Roman" w:hAnsi="Times New Roman" w:cs="Times New Roman"/>
          <w:sz w:val="24"/>
          <w:szCs w:val="24"/>
          <w:lang w:val="en-GB" w:eastAsia="en-GB"/>
        </w:rPr>
      </w:pPr>
      <w:r w:rsidRPr="00D3081F">
        <w:rPr>
          <w:rFonts w:ascii="Times New Roman" w:eastAsia="Times New Roman" w:hAnsi="Times New Roman" w:cs="Times New Roman"/>
          <w:noProof/>
          <w:sz w:val="24"/>
          <w:szCs w:val="24"/>
          <w:lang w:val="en-GB" w:eastAsia="en-GB"/>
        </w:rPr>
        <w:drawing>
          <wp:inline distT="0" distB="0" distL="0" distR="0" wp14:anchorId="5F6E5678" wp14:editId="46A78FC8">
            <wp:extent cx="4572000" cy="2514600"/>
            <wp:effectExtent l="0" t="0" r="0" b="0"/>
            <wp:docPr id="4" name="Chart 4">
              <a:extLst xmlns:a="http://schemas.openxmlformats.org/drawingml/2006/main">
                <a:ext uri="{FF2B5EF4-FFF2-40B4-BE49-F238E27FC236}">
                  <a16:creationId xmlns:a16="http://schemas.microsoft.com/office/drawing/2014/main" id="{00EC5A51-4F08-4FCF-BE3E-6B5B5826C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DC7228" w14:textId="77777777" w:rsidR="00D3081F" w:rsidRPr="00D3081F" w:rsidRDefault="00D3081F" w:rsidP="00D3081F">
      <w:pPr>
        <w:spacing w:after="200" w:line="240" w:lineRule="auto"/>
        <w:jc w:val="both"/>
        <w:rPr>
          <w:rFonts w:cstheme="minorHAnsi"/>
          <w:i/>
          <w:iCs/>
          <w:color w:val="44546A" w:themeColor="text2"/>
          <w:sz w:val="18"/>
          <w:szCs w:val="18"/>
          <w:lang w:val="en-US"/>
        </w:rPr>
      </w:pPr>
    </w:p>
    <w:p w14:paraId="027341AE" w14:textId="41D018CF" w:rsidR="00267BC8" w:rsidRPr="00267BC8" w:rsidRDefault="00D3081F" w:rsidP="00267BC8">
      <w:pPr>
        <w:numPr>
          <w:ilvl w:val="0"/>
          <w:numId w:val="5"/>
        </w:numPr>
        <w:spacing w:after="0" w:line="240" w:lineRule="auto"/>
        <w:contextualSpacing/>
        <w:jc w:val="both"/>
        <w:rPr>
          <w:rFonts w:eastAsia="Times New Roman" w:cstheme="minorHAnsi"/>
          <w:sz w:val="24"/>
          <w:szCs w:val="24"/>
          <w:lang w:val="en-GB" w:eastAsia="en-GB"/>
        </w:rPr>
      </w:pPr>
      <w:r w:rsidRPr="00D3081F">
        <w:rPr>
          <w:rFonts w:eastAsia="Times New Roman" w:cstheme="minorHAnsi"/>
          <w:b/>
          <w:bCs/>
          <w:sz w:val="24"/>
          <w:szCs w:val="24"/>
          <w:lang w:val="en-GB" w:eastAsia="en-GB"/>
        </w:rPr>
        <w:t>Lower transition rates:</w:t>
      </w:r>
      <w:r w:rsidRPr="00D3081F">
        <w:rPr>
          <w:rFonts w:eastAsia="Times New Roman" w:cstheme="minorHAnsi"/>
          <w:sz w:val="24"/>
          <w:szCs w:val="24"/>
          <w:lang w:val="en-GB" w:eastAsia="en-GB"/>
        </w:rPr>
        <w:t xml:space="preserve">  Girls with mental health disability had lower transition rates than their peers. Depression has a particularly negative impact, reducing transition by 25 percentage points. Low transition rates are likely to be related to lack of awareness and support for girls facing anxiety and depression.</w:t>
      </w:r>
    </w:p>
    <w:p w14:paraId="707CD160" w14:textId="0B97EC03" w:rsidR="00D3081F" w:rsidRPr="00D3081F" w:rsidRDefault="00D3081F" w:rsidP="00267BC8">
      <w:pPr>
        <w:keepNext/>
        <w:spacing w:after="0" w:line="240" w:lineRule="auto"/>
        <w:ind w:left="360"/>
        <w:contextualSpacing/>
        <w:jc w:val="center"/>
        <w:rPr>
          <w:rFonts w:ascii="Times New Roman" w:eastAsia="Times New Roman" w:hAnsi="Times New Roman" w:cs="Times New Roman"/>
          <w:sz w:val="24"/>
          <w:szCs w:val="24"/>
          <w:lang w:val="en-GB" w:eastAsia="en-GB"/>
        </w:rPr>
      </w:pPr>
    </w:p>
    <w:p w14:paraId="7F794044" w14:textId="04144B11" w:rsidR="00D3081F" w:rsidRPr="00267BC8" w:rsidRDefault="00D3081F" w:rsidP="00267BC8">
      <w:pPr>
        <w:spacing w:after="200" w:line="240" w:lineRule="auto"/>
        <w:jc w:val="center"/>
        <w:rPr>
          <w:b/>
          <w:bCs/>
          <w:i/>
          <w:iCs/>
          <w:color w:val="ED7D31" w:themeColor="accent2"/>
          <w:sz w:val="24"/>
          <w:szCs w:val="24"/>
          <w:lang w:val="en-US"/>
        </w:rPr>
      </w:pPr>
      <w:r w:rsidRPr="00267BC8">
        <w:rPr>
          <w:b/>
          <w:bCs/>
          <w:i/>
          <w:iCs/>
          <w:color w:val="ED7D31" w:themeColor="accent2"/>
          <w:sz w:val="24"/>
          <w:szCs w:val="24"/>
          <w:lang w:val="en-US"/>
        </w:rPr>
        <w:t xml:space="preserve">Figure </w:t>
      </w:r>
      <w:r w:rsidRPr="00267BC8">
        <w:rPr>
          <w:b/>
          <w:bCs/>
          <w:i/>
          <w:iCs/>
          <w:color w:val="ED7D31" w:themeColor="accent2"/>
          <w:sz w:val="24"/>
          <w:szCs w:val="24"/>
          <w:lang w:val="en-US"/>
        </w:rPr>
        <w:fldChar w:fldCharType="begin"/>
      </w:r>
      <w:r w:rsidRPr="00267BC8">
        <w:rPr>
          <w:b/>
          <w:bCs/>
          <w:i/>
          <w:iCs/>
          <w:color w:val="ED7D31" w:themeColor="accent2"/>
          <w:sz w:val="24"/>
          <w:szCs w:val="24"/>
          <w:lang w:val="en-US"/>
        </w:rPr>
        <w:instrText xml:space="preserve"> SEQ Figure \* ARABIC </w:instrText>
      </w:r>
      <w:r w:rsidRPr="00267BC8">
        <w:rPr>
          <w:b/>
          <w:bCs/>
          <w:i/>
          <w:iCs/>
          <w:color w:val="ED7D31" w:themeColor="accent2"/>
          <w:sz w:val="24"/>
          <w:szCs w:val="24"/>
          <w:lang w:val="en-US"/>
        </w:rPr>
        <w:fldChar w:fldCharType="separate"/>
      </w:r>
      <w:r w:rsidRPr="00267BC8">
        <w:rPr>
          <w:b/>
          <w:bCs/>
          <w:i/>
          <w:iCs/>
          <w:noProof/>
          <w:color w:val="ED7D31" w:themeColor="accent2"/>
          <w:sz w:val="24"/>
          <w:szCs w:val="24"/>
          <w:lang w:val="en-US"/>
        </w:rPr>
        <w:t>3</w:t>
      </w:r>
      <w:r w:rsidRPr="00267BC8">
        <w:rPr>
          <w:b/>
          <w:bCs/>
          <w:i/>
          <w:iCs/>
          <w:color w:val="ED7D31" w:themeColor="accent2"/>
          <w:sz w:val="24"/>
          <w:szCs w:val="24"/>
          <w:lang w:val="en-US"/>
        </w:rPr>
        <w:fldChar w:fldCharType="end"/>
      </w:r>
      <w:r w:rsidRPr="00267BC8">
        <w:rPr>
          <w:b/>
          <w:bCs/>
          <w:i/>
          <w:iCs/>
          <w:color w:val="ED7D31" w:themeColor="accent2"/>
          <w:sz w:val="24"/>
          <w:szCs w:val="24"/>
          <w:lang w:val="en-US"/>
        </w:rPr>
        <w:t xml:space="preserve"> - Effect of mental health disabilities on girls' transition rates</w:t>
      </w:r>
    </w:p>
    <w:p w14:paraId="1990792F" w14:textId="6B264F37" w:rsidR="00D3081F" w:rsidRPr="00D3081F" w:rsidRDefault="00267BC8" w:rsidP="00267BC8">
      <w:pPr>
        <w:spacing w:after="200" w:line="240" w:lineRule="auto"/>
        <w:jc w:val="center"/>
        <w:rPr>
          <w:rFonts w:cstheme="minorHAnsi"/>
          <w:i/>
          <w:iCs/>
          <w:color w:val="44546A" w:themeColor="text2"/>
          <w:sz w:val="18"/>
          <w:szCs w:val="18"/>
          <w:lang w:val="en-US"/>
        </w:rPr>
      </w:pPr>
      <w:r w:rsidRPr="00D3081F">
        <w:rPr>
          <w:rFonts w:ascii="Times New Roman" w:eastAsia="Times New Roman" w:hAnsi="Times New Roman" w:cs="Times New Roman"/>
          <w:noProof/>
          <w:sz w:val="24"/>
          <w:szCs w:val="24"/>
          <w:lang w:val="en-GB" w:eastAsia="en-GB"/>
        </w:rPr>
        <w:drawing>
          <wp:inline distT="0" distB="0" distL="0" distR="0" wp14:anchorId="37B9CF8A" wp14:editId="1411C4D6">
            <wp:extent cx="4572000" cy="2743200"/>
            <wp:effectExtent l="0" t="0" r="0" b="0"/>
            <wp:docPr id="11" name="Chart 11">
              <a:extLst xmlns:a="http://schemas.openxmlformats.org/drawingml/2006/main">
                <a:ext uri="{FF2B5EF4-FFF2-40B4-BE49-F238E27FC236}">
                  <a16:creationId xmlns:a16="http://schemas.microsoft.com/office/drawing/2014/main" id="{30DC2BD2-7718-4653-883F-6357551440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A35C39" w14:textId="5113C174" w:rsidR="00D3081F" w:rsidRDefault="00D3081F" w:rsidP="00D3081F">
      <w:pPr>
        <w:numPr>
          <w:ilvl w:val="0"/>
          <w:numId w:val="5"/>
        </w:numPr>
        <w:spacing w:after="0" w:line="240" w:lineRule="auto"/>
        <w:contextualSpacing/>
        <w:jc w:val="both"/>
        <w:rPr>
          <w:rFonts w:eastAsia="Times New Roman" w:cstheme="minorHAnsi"/>
          <w:sz w:val="24"/>
          <w:szCs w:val="24"/>
          <w:lang w:val="en-GB" w:eastAsia="en-GB"/>
        </w:rPr>
      </w:pPr>
      <w:r w:rsidRPr="00D3081F">
        <w:rPr>
          <w:rFonts w:eastAsia="Times New Roman" w:cstheme="minorHAnsi"/>
          <w:b/>
          <w:bCs/>
          <w:sz w:val="24"/>
          <w:szCs w:val="24"/>
          <w:lang w:val="en-GB" w:eastAsia="en-GB"/>
        </w:rPr>
        <w:t>Stigmatization and ‘invisibility’.</w:t>
      </w:r>
      <w:r w:rsidRPr="00D3081F">
        <w:rPr>
          <w:rFonts w:eastAsia="Times New Roman" w:cstheme="minorHAnsi"/>
          <w:sz w:val="24"/>
          <w:szCs w:val="24"/>
          <w:lang w:val="en-GB" w:eastAsia="en-GB"/>
        </w:rPr>
        <w:t xml:space="preserve">  Qualitative findings have highlighted that people with disability are a neglected group and viewed beyond the capacity and resources of schools for inclusion.  Additionally, respondents tended to view disability in physical and visible terms with little reference to mental health dimensions.  </w:t>
      </w:r>
    </w:p>
    <w:p w14:paraId="7DF16FAE" w14:textId="77777777" w:rsidR="00BA6D54" w:rsidRPr="00D3081F" w:rsidRDefault="00BA6D54" w:rsidP="00BA6D54">
      <w:pPr>
        <w:spacing w:after="0" w:line="240" w:lineRule="auto"/>
        <w:ind w:left="360"/>
        <w:contextualSpacing/>
        <w:jc w:val="both"/>
        <w:rPr>
          <w:rFonts w:eastAsia="Times New Roman" w:cstheme="minorHAnsi"/>
          <w:sz w:val="24"/>
          <w:szCs w:val="24"/>
          <w:lang w:val="en-GB" w:eastAsia="en-GB"/>
        </w:rPr>
      </w:pPr>
    </w:p>
    <w:p w14:paraId="3B15E9B9" w14:textId="77777777" w:rsidR="00D3081F" w:rsidRPr="00D3081F" w:rsidRDefault="00D3081F" w:rsidP="00D3081F">
      <w:pPr>
        <w:spacing w:after="0" w:line="240" w:lineRule="auto"/>
        <w:jc w:val="both"/>
        <w:rPr>
          <w:sz w:val="24"/>
          <w:szCs w:val="24"/>
          <w:lang w:val="en-US"/>
        </w:rPr>
      </w:pPr>
    </w:p>
    <w:p w14:paraId="52B43114" w14:textId="77777777" w:rsidR="00D3081F" w:rsidRPr="00D57AB7" w:rsidRDefault="00D3081F" w:rsidP="00D3081F">
      <w:pPr>
        <w:spacing w:after="0" w:line="240" w:lineRule="auto"/>
        <w:jc w:val="both"/>
        <w:rPr>
          <w:b/>
          <w:bCs/>
          <w:sz w:val="32"/>
          <w:szCs w:val="32"/>
          <w:u w:val="single"/>
          <w:lang w:val="en-US"/>
        </w:rPr>
      </w:pPr>
      <w:r w:rsidRPr="00D57AB7">
        <w:rPr>
          <w:b/>
          <w:bCs/>
          <w:sz w:val="32"/>
          <w:szCs w:val="32"/>
          <w:u w:val="single"/>
          <w:lang w:val="en-US"/>
        </w:rPr>
        <w:t>SOMGEP-T mental health responses and adaptations</w:t>
      </w:r>
    </w:p>
    <w:p w14:paraId="65CBA20E" w14:textId="77777777" w:rsidR="00D3081F" w:rsidRPr="00D3081F" w:rsidRDefault="00D3081F" w:rsidP="00D3081F">
      <w:pPr>
        <w:spacing w:after="0" w:line="240" w:lineRule="auto"/>
        <w:jc w:val="both"/>
        <w:rPr>
          <w:sz w:val="24"/>
          <w:szCs w:val="24"/>
          <w:lang w:val="en-US"/>
        </w:rPr>
      </w:pPr>
      <w:r w:rsidRPr="00D3081F">
        <w:rPr>
          <w:sz w:val="24"/>
          <w:szCs w:val="24"/>
          <w:lang w:val="en-US"/>
        </w:rPr>
        <w:t>The large proportion of girls with anxiety and/or depression, and the intersection of poor learning outcomes and mental health issues led the project to adapt the original design to plan a variety of targeted interventions.</w:t>
      </w:r>
    </w:p>
    <w:p w14:paraId="5014F277" w14:textId="77777777" w:rsidR="00D3081F" w:rsidRPr="00D3081F" w:rsidRDefault="00D3081F" w:rsidP="00D3081F">
      <w:pPr>
        <w:spacing w:after="0" w:line="240" w:lineRule="auto"/>
        <w:jc w:val="both"/>
        <w:rPr>
          <w:rFonts w:cstheme="minorHAnsi"/>
          <w:sz w:val="24"/>
          <w:szCs w:val="24"/>
          <w:lang w:val="en-US"/>
        </w:rPr>
      </w:pPr>
    </w:p>
    <w:p w14:paraId="4EA690FA" w14:textId="4C017DA4" w:rsidR="00D3081F" w:rsidRPr="00D3081F" w:rsidRDefault="00D3081F" w:rsidP="00D3081F">
      <w:pPr>
        <w:numPr>
          <w:ilvl w:val="0"/>
          <w:numId w:val="6"/>
        </w:numPr>
        <w:spacing w:after="0" w:line="240" w:lineRule="auto"/>
        <w:ind w:left="360"/>
        <w:contextualSpacing/>
        <w:jc w:val="both"/>
        <w:rPr>
          <w:rFonts w:eastAsia="Times New Roman" w:cstheme="minorHAnsi"/>
          <w:b/>
          <w:bCs/>
          <w:sz w:val="24"/>
          <w:szCs w:val="24"/>
          <w:lang w:val="en-GB" w:eastAsia="en-GB"/>
        </w:rPr>
      </w:pPr>
      <w:r w:rsidRPr="00D3081F">
        <w:rPr>
          <w:rFonts w:eastAsia="Times New Roman" w:cstheme="minorHAnsi"/>
          <w:b/>
          <w:bCs/>
          <w:sz w:val="24"/>
          <w:szCs w:val="24"/>
          <w:lang w:val="en-GB" w:eastAsia="en-GB"/>
        </w:rPr>
        <w:t>Sensitisation of staff and stakeholders on the existence of mental health issues and the need to address th</w:t>
      </w:r>
      <w:r w:rsidR="00B234BC">
        <w:rPr>
          <w:rFonts w:eastAsia="Times New Roman" w:cstheme="minorHAnsi"/>
          <w:b/>
          <w:bCs/>
          <w:sz w:val="24"/>
          <w:szCs w:val="24"/>
          <w:lang w:val="en-GB" w:eastAsia="en-GB"/>
        </w:rPr>
        <w:t>e</w:t>
      </w:r>
      <w:r w:rsidRPr="00D3081F">
        <w:rPr>
          <w:rFonts w:eastAsia="Times New Roman" w:cstheme="minorHAnsi"/>
          <w:b/>
          <w:bCs/>
          <w:sz w:val="24"/>
          <w:szCs w:val="24"/>
          <w:lang w:val="en-GB" w:eastAsia="en-GB"/>
        </w:rPr>
        <w:t>se</w:t>
      </w:r>
      <w:r w:rsidRPr="00D3081F">
        <w:rPr>
          <w:rFonts w:eastAsia="Times New Roman" w:cstheme="minorHAnsi"/>
          <w:sz w:val="24"/>
          <w:szCs w:val="24"/>
          <w:lang w:val="en-GB" w:eastAsia="en-GB"/>
        </w:rPr>
        <w:t>. The project has identified strategic partners working on disability in the Somali diaspora and engaged their specialised support to provide trainings to field staff and Ministries of Education (central, regional and district levels) on disability, including mental health issues.  These activities helped to break the silence around mental health issues.</w:t>
      </w:r>
    </w:p>
    <w:p w14:paraId="36A10DE5" w14:textId="77777777" w:rsidR="00BA6D54" w:rsidRDefault="00BA6D54" w:rsidP="00BA6D54">
      <w:pPr>
        <w:spacing w:after="0" w:line="240" w:lineRule="auto"/>
        <w:ind w:left="360"/>
        <w:contextualSpacing/>
        <w:jc w:val="both"/>
        <w:rPr>
          <w:rFonts w:eastAsia="Times New Roman" w:cstheme="minorHAnsi"/>
          <w:b/>
          <w:bCs/>
          <w:sz w:val="24"/>
          <w:szCs w:val="24"/>
          <w:lang w:val="en-GB" w:eastAsia="en-GB"/>
        </w:rPr>
      </w:pPr>
    </w:p>
    <w:p w14:paraId="6714A72D" w14:textId="32565FAC" w:rsidR="00D3081F" w:rsidRPr="00D3081F" w:rsidRDefault="00D3081F" w:rsidP="00D3081F">
      <w:pPr>
        <w:numPr>
          <w:ilvl w:val="0"/>
          <w:numId w:val="6"/>
        </w:numPr>
        <w:spacing w:after="0" w:line="240" w:lineRule="auto"/>
        <w:ind w:left="360"/>
        <w:contextualSpacing/>
        <w:jc w:val="both"/>
        <w:rPr>
          <w:rFonts w:eastAsia="Times New Roman" w:cstheme="minorHAnsi"/>
          <w:b/>
          <w:bCs/>
          <w:sz w:val="24"/>
          <w:szCs w:val="24"/>
          <w:lang w:val="en-GB" w:eastAsia="en-GB"/>
        </w:rPr>
      </w:pPr>
      <w:r w:rsidRPr="00D3081F">
        <w:rPr>
          <w:rFonts w:eastAsia="Times New Roman" w:cstheme="minorHAnsi"/>
          <w:b/>
          <w:bCs/>
          <w:sz w:val="24"/>
          <w:szCs w:val="24"/>
          <w:lang w:val="en-GB" w:eastAsia="en-GB"/>
        </w:rPr>
        <w:t xml:space="preserve">Increased awareness at community levels of the effects of ‘hidden disabilities’ on learning and retention.  </w:t>
      </w:r>
      <w:r w:rsidRPr="00D3081F">
        <w:rPr>
          <w:rFonts w:eastAsia="Times New Roman" w:cstheme="minorHAnsi"/>
          <w:sz w:val="24"/>
          <w:szCs w:val="24"/>
          <w:lang w:val="en-GB" w:eastAsia="en-GB"/>
        </w:rPr>
        <w:t>The project has trained Community Education Committees and local leaders to identify and support children (girls/boys) living with disabilities at the community, including “hidden” disabilities. The increased awareness at community level is essential to ensure follow-ups on cases of absenteeism and dropout involving children facing anxiety and depression.</w:t>
      </w:r>
    </w:p>
    <w:p w14:paraId="1E5E59D1" w14:textId="77777777" w:rsidR="00D3081F" w:rsidRPr="00D3081F" w:rsidRDefault="00D3081F" w:rsidP="00D3081F">
      <w:pPr>
        <w:spacing w:after="0" w:line="240" w:lineRule="auto"/>
        <w:jc w:val="both"/>
        <w:rPr>
          <w:rFonts w:cstheme="minorHAnsi"/>
          <w:sz w:val="24"/>
          <w:szCs w:val="24"/>
          <w:lang w:val="en-US"/>
        </w:rPr>
      </w:pPr>
    </w:p>
    <w:p w14:paraId="24A8730E" w14:textId="77777777" w:rsidR="00D3081F" w:rsidRPr="00D3081F" w:rsidRDefault="00D3081F" w:rsidP="00D3081F">
      <w:pPr>
        <w:numPr>
          <w:ilvl w:val="0"/>
          <w:numId w:val="6"/>
        </w:numPr>
        <w:spacing w:after="0" w:line="240" w:lineRule="auto"/>
        <w:ind w:left="360"/>
        <w:contextualSpacing/>
        <w:jc w:val="both"/>
        <w:rPr>
          <w:rFonts w:eastAsia="Times New Roman" w:cstheme="minorHAnsi"/>
          <w:sz w:val="24"/>
          <w:szCs w:val="24"/>
          <w:lang w:val="en-GB" w:eastAsia="en-GB"/>
        </w:rPr>
      </w:pPr>
      <w:r w:rsidRPr="00D3081F">
        <w:rPr>
          <w:rFonts w:eastAsia="Times New Roman" w:cstheme="minorHAnsi"/>
          <w:b/>
          <w:bCs/>
          <w:sz w:val="24"/>
          <w:szCs w:val="24"/>
          <w:lang w:val="en-GB" w:eastAsia="en-GB"/>
        </w:rPr>
        <w:t>Tailored support to teachers to address learning barriers for children with disabilities, particularly girls facing anxiety and depression, with dyslexia or hearing impairment.</w:t>
      </w:r>
      <w:r w:rsidRPr="00D3081F">
        <w:rPr>
          <w:rFonts w:eastAsia="Times New Roman" w:cstheme="minorHAnsi"/>
          <w:sz w:val="24"/>
          <w:szCs w:val="24"/>
          <w:lang w:val="en-GB" w:eastAsia="en-GB"/>
        </w:rPr>
        <w:t xml:space="preserve">  A key intervention component is enhancing the capacity of teachers to identify signs of anxiety and depression instead of dismissing students who are not participating in class, withdrawing from peers or showing signs of nervousness/ ‘acting up’, among other common patterns. Teachers and head teachers are also being sensitised about preventing other students from bullying/ stigmatising girls and boys potentially facing mental health issues as well as ‘visible’ disabilities. </w:t>
      </w:r>
    </w:p>
    <w:p w14:paraId="6D52A88A" w14:textId="77777777" w:rsidR="00D3081F" w:rsidRPr="00D3081F" w:rsidRDefault="00D3081F" w:rsidP="00D3081F">
      <w:pPr>
        <w:spacing w:after="0" w:line="240" w:lineRule="auto"/>
        <w:jc w:val="both"/>
        <w:rPr>
          <w:rFonts w:cstheme="minorHAnsi"/>
          <w:sz w:val="24"/>
          <w:szCs w:val="24"/>
          <w:lang w:val="en-US"/>
        </w:rPr>
      </w:pPr>
    </w:p>
    <w:p w14:paraId="1718A8C7" w14:textId="77777777" w:rsidR="00D3081F" w:rsidRPr="00D3081F" w:rsidRDefault="00D3081F" w:rsidP="00D3081F">
      <w:pPr>
        <w:numPr>
          <w:ilvl w:val="0"/>
          <w:numId w:val="6"/>
        </w:numPr>
        <w:spacing w:after="0" w:line="240" w:lineRule="auto"/>
        <w:ind w:left="360"/>
        <w:contextualSpacing/>
        <w:jc w:val="both"/>
        <w:rPr>
          <w:rFonts w:eastAsia="Times New Roman" w:cstheme="minorHAnsi"/>
          <w:b/>
          <w:bCs/>
          <w:sz w:val="24"/>
          <w:szCs w:val="24"/>
          <w:lang w:val="en-GB" w:eastAsia="en-GB"/>
        </w:rPr>
      </w:pPr>
      <w:r w:rsidRPr="00D3081F">
        <w:rPr>
          <w:rFonts w:eastAsia="Times New Roman" w:cstheme="minorHAnsi"/>
          <w:b/>
          <w:bCs/>
          <w:sz w:val="24"/>
          <w:szCs w:val="24"/>
          <w:lang w:val="en-GB" w:eastAsia="en-GB"/>
        </w:rPr>
        <w:t xml:space="preserve">Peer-to-peer support through participation in Girls’ Empowerment Forums.  </w:t>
      </w:r>
      <w:r w:rsidRPr="00D3081F">
        <w:rPr>
          <w:rFonts w:eastAsia="Times New Roman" w:cstheme="minorHAnsi"/>
          <w:sz w:val="24"/>
          <w:szCs w:val="24"/>
          <w:lang w:val="en-GB" w:eastAsia="en-GB"/>
        </w:rPr>
        <w:t>Girls’ Empowerment Forums are a project intervention that provides safe spaces for girls to practice leadership skills, discuss issues affecting them and provide peer-to-peer support and psychosocial support to others suffering from trauma, anxiety/depression, etc.</w:t>
      </w:r>
    </w:p>
    <w:p w14:paraId="280F8A79" w14:textId="77777777" w:rsidR="00D3081F" w:rsidRPr="00D3081F" w:rsidRDefault="00D3081F" w:rsidP="00D3081F">
      <w:pPr>
        <w:spacing w:after="0" w:line="240" w:lineRule="auto"/>
        <w:ind w:left="720"/>
        <w:contextualSpacing/>
        <w:rPr>
          <w:rFonts w:eastAsia="Times New Roman" w:cstheme="minorHAnsi"/>
          <w:b/>
          <w:bCs/>
          <w:sz w:val="24"/>
          <w:szCs w:val="24"/>
          <w:lang w:val="en-GB" w:eastAsia="en-GB"/>
        </w:rPr>
      </w:pPr>
    </w:p>
    <w:p w14:paraId="774015ED" w14:textId="77777777" w:rsidR="00D3081F" w:rsidRPr="00D3081F" w:rsidRDefault="00D3081F" w:rsidP="00D3081F">
      <w:pPr>
        <w:numPr>
          <w:ilvl w:val="0"/>
          <w:numId w:val="6"/>
        </w:numPr>
        <w:spacing w:after="0" w:line="240" w:lineRule="auto"/>
        <w:ind w:left="360"/>
        <w:contextualSpacing/>
        <w:jc w:val="both"/>
        <w:rPr>
          <w:rFonts w:eastAsia="Times New Roman" w:cstheme="minorHAnsi"/>
          <w:sz w:val="24"/>
          <w:szCs w:val="24"/>
          <w:lang w:val="en-GB" w:eastAsia="en-GB"/>
        </w:rPr>
      </w:pPr>
      <w:r w:rsidRPr="00D3081F">
        <w:rPr>
          <w:rFonts w:eastAsia="Times New Roman" w:cstheme="minorHAnsi"/>
          <w:b/>
          <w:bCs/>
          <w:sz w:val="24"/>
          <w:szCs w:val="24"/>
          <w:lang w:val="en-GB" w:eastAsia="en-GB"/>
        </w:rPr>
        <w:t>Put systems in place to ensure that girls with mental health disabilities receive psycho-social counselling.</w:t>
      </w:r>
      <w:r w:rsidRPr="00D3081F">
        <w:rPr>
          <w:rFonts w:eastAsia="Times New Roman" w:cstheme="minorHAnsi"/>
          <w:sz w:val="24"/>
          <w:szCs w:val="24"/>
          <w:lang w:val="en-GB" w:eastAsia="en-GB"/>
        </w:rPr>
        <w:t xml:space="preserve">  Given the lack of professional counselling services in country, the project has started integrating counselling into Girls’ Empowerment Forum activities, supporting mentors to develop basic skills to support girls displaying signs of anxiety and/or depression. </w:t>
      </w:r>
    </w:p>
    <w:p w14:paraId="70961A5C" w14:textId="77777777" w:rsidR="00D3081F" w:rsidRPr="00D3081F" w:rsidRDefault="00D3081F" w:rsidP="00D3081F">
      <w:pPr>
        <w:spacing w:after="0" w:line="240" w:lineRule="auto"/>
        <w:ind w:left="360"/>
        <w:contextualSpacing/>
        <w:jc w:val="both"/>
        <w:rPr>
          <w:rFonts w:eastAsia="Times New Roman" w:cstheme="minorHAnsi"/>
          <w:b/>
          <w:bCs/>
          <w:sz w:val="24"/>
          <w:szCs w:val="24"/>
          <w:lang w:val="en-GB" w:eastAsia="en-GB"/>
        </w:rPr>
      </w:pPr>
    </w:p>
    <w:p w14:paraId="497E1F9A" w14:textId="77777777" w:rsidR="00D3081F" w:rsidRPr="00D3081F" w:rsidRDefault="00D3081F" w:rsidP="00D3081F">
      <w:pPr>
        <w:numPr>
          <w:ilvl w:val="0"/>
          <w:numId w:val="6"/>
        </w:numPr>
        <w:spacing w:after="0" w:line="240" w:lineRule="auto"/>
        <w:ind w:left="360"/>
        <w:contextualSpacing/>
        <w:jc w:val="both"/>
        <w:rPr>
          <w:rFonts w:eastAsia="Times New Roman" w:cstheme="minorHAnsi"/>
          <w:b/>
          <w:bCs/>
          <w:sz w:val="24"/>
          <w:szCs w:val="24"/>
          <w:lang w:val="en-GB" w:eastAsia="en-GB"/>
        </w:rPr>
      </w:pPr>
      <w:r w:rsidRPr="00D3081F">
        <w:rPr>
          <w:rFonts w:eastAsia="Times New Roman" w:cstheme="minorHAnsi"/>
          <w:b/>
          <w:bCs/>
          <w:sz w:val="24"/>
          <w:szCs w:val="24"/>
          <w:lang w:val="en-GB" w:eastAsia="en-GB"/>
        </w:rPr>
        <w:t>Address root causes of anxiety.</w:t>
      </w:r>
      <w:r w:rsidRPr="00D3081F">
        <w:rPr>
          <w:rFonts w:eastAsia="Times New Roman" w:cstheme="minorHAnsi"/>
          <w:sz w:val="24"/>
          <w:szCs w:val="24"/>
          <w:lang w:val="en-GB" w:eastAsia="en-GB"/>
        </w:rPr>
        <w:t xml:space="preserve">  Hypothesized sources of anxiety and depression include exposure to conflict and/or violence, displacement, hunger, and child protection issues, such as corporal punishment and bullying at school. The project is targeting girls who experienced displacement and live in extreme poverty through Girls’ Empowerment Forums and working with Community Education Committees and teachers to increase accountability on child protection in schools. These interventions are synchronised with scaled up counselling to mitigate the impact of anxiety and depression.  This is particularly true in the context of the current COVID-19 crisis, which is likely to exacerbate the vulnerability of households and may result in a major escalation of anxiety and depression rates.</w:t>
      </w:r>
    </w:p>
    <w:p w14:paraId="068F2B3E" w14:textId="77777777" w:rsidR="00D3081F" w:rsidRPr="00D3081F" w:rsidRDefault="00D3081F" w:rsidP="00D3081F">
      <w:pPr>
        <w:spacing w:after="0" w:line="240" w:lineRule="auto"/>
        <w:jc w:val="both"/>
        <w:rPr>
          <w:rFonts w:cstheme="minorHAnsi"/>
          <w:sz w:val="24"/>
          <w:szCs w:val="24"/>
          <w:lang w:val="en-US"/>
        </w:rPr>
      </w:pPr>
    </w:p>
    <w:p w14:paraId="3D7AAA43" w14:textId="77777777" w:rsidR="00D3081F" w:rsidRPr="00D3081F" w:rsidRDefault="00D3081F" w:rsidP="00D3081F">
      <w:pPr>
        <w:spacing w:after="0" w:line="240" w:lineRule="auto"/>
        <w:jc w:val="both"/>
        <w:rPr>
          <w:rFonts w:cstheme="minorHAnsi"/>
          <w:sz w:val="24"/>
          <w:szCs w:val="24"/>
          <w:lang w:val="en-US"/>
        </w:rPr>
      </w:pPr>
    </w:p>
    <w:p w14:paraId="25E2A3C8" w14:textId="276FFAFE" w:rsidR="00D3081F" w:rsidRPr="00D57AB7" w:rsidRDefault="00D3081F" w:rsidP="00D3081F">
      <w:pPr>
        <w:spacing w:after="0" w:line="240" w:lineRule="auto"/>
        <w:jc w:val="both"/>
        <w:rPr>
          <w:b/>
          <w:bCs/>
          <w:sz w:val="32"/>
          <w:szCs w:val="32"/>
          <w:u w:val="single"/>
          <w:lang w:val="en-US"/>
        </w:rPr>
      </w:pPr>
      <w:r w:rsidRPr="00D57AB7">
        <w:rPr>
          <w:b/>
          <w:bCs/>
          <w:sz w:val="32"/>
          <w:szCs w:val="32"/>
          <w:u w:val="single"/>
          <w:lang w:val="en-US"/>
        </w:rPr>
        <w:t>What progress are we seeing?</w:t>
      </w:r>
    </w:p>
    <w:p w14:paraId="02B20886" w14:textId="77777777" w:rsidR="00D3081F" w:rsidRPr="00D3081F" w:rsidRDefault="00D3081F" w:rsidP="00D3081F">
      <w:pPr>
        <w:spacing w:after="0" w:line="240" w:lineRule="auto"/>
        <w:jc w:val="both"/>
        <w:rPr>
          <w:rFonts w:cstheme="minorHAnsi"/>
          <w:sz w:val="24"/>
          <w:szCs w:val="24"/>
          <w:lang w:val="en-US"/>
        </w:rPr>
      </w:pPr>
      <w:r w:rsidRPr="00D3081F">
        <w:rPr>
          <w:rFonts w:cstheme="minorHAnsi"/>
          <w:sz w:val="24"/>
          <w:szCs w:val="24"/>
          <w:lang w:val="en-US"/>
        </w:rPr>
        <w:t xml:space="preserve">Although mental health disability-focused project adaptations are ongoing, some areas of progress are worth highlighting at this stage of the project.  </w:t>
      </w:r>
    </w:p>
    <w:p w14:paraId="02FDC07E" w14:textId="77777777" w:rsidR="00D3081F" w:rsidRPr="00D3081F" w:rsidRDefault="00D3081F" w:rsidP="00D3081F">
      <w:pPr>
        <w:spacing w:after="0" w:line="240" w:lineRule="auto"/>
        <w:jc w:val="both"/>
        <w:rPr>
          <w:rFonts w:cstheme="minorHAnsi"/>
          <w:sz w:val="24"/>
          <w:szCs w:val="24"/>
          <w:lang w:val="en-US"/>
        </w:rPr>
      </w:pPr>
    </w:p>
    <w:p w14:paraId="5BCE6403" w14:textId="78B0434F" w:rsidR="00D3081F" w:rsidRPr="00D3081F" w:rsidRDefault="00B234BC" w:rsidP="00D3081F">
      <w:pPr>
        <w:spacing w:after="0" w:line="240" w:lineRule="auto"/>
        <w:jc w:val="both"/>
        <w:rPr>
          <w:rFonts w:cstheme="minorHAnsi"/>
          <w:sz w:val="24"/>
          <w:szCs w:val="24"/>
          <w:lang w:val="en-US"/>
        </w:rPr>
      </w:pPr>
      <w:r>
        <w:rPr>
          <w:rFonts w:cstheme="minorHAnsi"/>
          <w:b/>
          <w:bCs/>
          <w:sz w:val="24"/>
          <w:szCs w:val="24"/>
          <w:lang w:val="en-US"/>
        </w:rPr>
        <w:t>Improved f</w:t>
      </w:r>
      <w:r w:rsidR="00D3081F" w:rsidRPr="00D3081F">
        <w:rPr>
          <w:rFonts w:cstheme="minorHAnsi"/>
          <w:b/>
          <w:bCs/>
          <w:sz w:val="24"/>
          <w:szCs w:val="24"/>
          <w:lang w:val="en-US"/>
        </w:rPr>
        <w:t xml:space="preserve">inancial </w:t>
      </w:r>
      <w:r w:rsidR="00BA6D54">
        <w:rPr>
          <w:rFonts w:cstheme="minorHAnsi"/>
          <w:b/>
          <w:bCs/>
          <w:sz w:val="24"/>
          <w:szCs w:val="24"/>
          <w:lang w:val="en-US"/>
        </w:rPr>
        <w:t>l</w:t>
      </w:r>
      <w:r w:rsidR="00D3081F" w:rsidRPr="00D3081F">
        <w:rPr>
          <w:rFonts w:cstheme="minorHAnsi"/>
          <w:b/>
          <w:bCs/>
          <w:sz w:val="24"/>
          <w:szCs w:val="24"/>
          <w:lang w:val="en-US"/>
        </w:rPr>
        <w:t>iteracy.</w:t>
      </w:r>
      <w:r w:rsidR="00D3081F" w:rsidRPr="00D3081F">
        <w:rPr>
          <w:rFonts w:cstheme="minorHAnsi"/>
          <w:sz w:val="24"/>
          <w:szCs w:val="24"/>
          <w:lang w:val="en-US"/>
        </w:rPr>
        <w:t xml:space="preserve">  The program’s overall improvements in financial literacy outcomes extended to girls with mental health and other disabilities.  The third evaluation round results showed that cohort girls from intervention schools significantly improved their financial literacy scores over girls from comparison schools (a gain of 19.3% versus 10.9% - a 8.4% advantage).  The third evaluation results further suggest that financial literacy also improved among girls with mental health and all forms of disability in program schools relative to comparison schools.  Girls with any disability improved by 9.4 percentage points and girls with mental health disability improved 12.1 percentage points –a greater improvement than between program and comparison girls overall.  These improvements bordered on statistical significance and suggest that program’s efforts towards inclusions were showing effectiveness.  </w:t>
      </w:r>
    </w:p>
    <w:p w14:paraId="17DFA772" w14:textId="73759104" w:rsidR="00D3081F" w:rsidRPr="00267BC8" w:rsidRDefault="00267BC8" w:rsidP="00267BC8">
      <w:pPr>
        <w:spacing w:after="200" w:line="240" w:lineRule="auto"/>
        <w:jc w:val="center"/>
        <w:rPr>
          <w:rFonts w:cstheme="minorHAnsi"/>
          <w:b/>
          <w:bCs/>
          <w:i/>
          <w:iCs/>
          <w:color w:val="ED7D31" w:themeColor="accent2"/>
          <w:sz w:val="24"/>
          <w:szCs w:val="24"/>
          <w:lang w:val="en-US"/>
        </w:rPr>
      </w:pPr>
      <w:r w:rsidRPr="00267BC8">
        <w:rPr>
          <w:b/>
          <w:bCs/>
          <w:i/>
          <w:iCs/>
          <w:color w:val="ED7D31" w:themeColor="accent2"/>
          <w:sz w:val="24"/>
          <w:szCs w:val="24"/>
          <w:lang w:val="en-US"/>
        </w:rPr>
        <w:t xml:space="preserve">Figure </w:t>
      </w:r>
      <w:r w:rsidRPr="00267BC8">
        <w:rPr>
          <w:b/>
          <w:bCs/>
          <w:i/>
          <w:iCs/>
          <w:color w:val="ED7D31" w:themeColor="accent2"/>
          <w:sz w:val="24"/>
          <w:szCs w:val="24"/>
          <w:lang w:val="en-US"/>
        </w:rPr>
        <w:fldChar w:fldCharType="begin"/>
      </w:r>
      <w:r w:rsidRPr="00267BC8">
        <w:rPr>
          <w:b/>
          <w:bCs/>
          <w:i/>
          <w:iCs/>
          <w:color w:val="ED7D31" w:themeColor="accent2"/>
          <w:sz w:val="24"/>
          <w:szCs w:val="24"/>
          <w:lang w:val="en-US"/>
        </w:rPr>
        <w:instrText xml:space="preserve"> SEQ Figure \* ARABIC </w:instrText>
      </w:r>
      <w:r w:rsidRPr="00267BC8">
        <w:rPr>
          <w:b/>
          <w:bCs/>
          <w:i/>
          <w:iCs/>
          <w:color w:val="ED7D31" w:themeColor="accent2"/>
          <w:sz w:val="24"/>
          <w:szCs w:val="24"/>
          <w:lang w:val="en-US"/>
        </w:rPr>
        <w:fldChar w:fldCharType="separate"/>
      </w:r>
      <w:r w:rsidRPr="00267BC8">
        <w:rPr>
          <w:b/>
          <w:bCs/>
          <w:i/>
          <w:iCs/>
          <w:noProof/>
          <w:color w:val="ED7D31" w:themeColor="accent2"/>
          <w:sz w:val="24"/>
          <w:szCs w:val="24"/>
          <w:lang w:val="en-US"/>
        </w:rPr>
        <w:t>4</w:t>
      </w:r>
      <w:r w:rsidRPr="00267BC8">
        <w:rPr>
          <w:b/>
          <w:bCs/>
          <w:i/>
          <w:iCs/>
          <w:color w:val="ED7D31" w:themeColor="accent2"/>
          <w:sz w:val="24"/>
          <w:szCs w:val="24"/>
          <w:lang w:val="en-US"/>
        </w:rPr>
        <w:fldChar w:fldCharType="end"/>
      </w:r>
      <w:r w:rsidRPr="00267BC8">
        <w:rPr>
          <w:b/>
          <w:bCs/>
          <w:i/>
          <w:iCs/>
          <w:color w:val="ED7D31" w:themeColor="accent2"/>
          <w:sz w:val="24"/>
          <w:szCs w:val="24"/>
          <w:lang w:val="en-US"/>
        </w:rPr>
        <w:t xml:space="preserve"> - Longitudinal gains in financial literacy scores disaggregated by disability status</w:t>
      </w:r>
    </w:p>
    <w:p w14:paraId="7A2782DF" w14:textId="77777777" w:rsidR="00D3081F" w:rsidRPr="00D3081F" w:rsidRDefault="00D3081F" w:rsidP="00267BC8">
      <w:pPr>
        <w:keepNext/>
        <w:spacing w:after="0" w:line="240" w:lineRule="auto"/>
        <w:jc w:val="center"/>
        <w:rPr>
          <w:lang w:val="en-US"/>
        </w:rPr>
      </w:pPr>
      <w:r w:rsidRPr="00D3081F">
        <w:rPr>
          <w:noProof/>
          <w:lang w:val="en-GB" w:eastAsia="en-GB"/>
        </w:rPr>
        <w:drawing>
          <wp:inline distT="0" distB="0" distL="0" distR="0" wp14:anchorId="23323467" wp14:editId="3C1B0F6D">
            <wp:extent cx="4572000" cy="2743200"/>
            <wp:effectExtent l="0" t="0" r="0" b="0"/>
            <wp:docPr id="6" name="Chart 6">
              <a:extLst xmlns:a="http://schemas.openxmlformats.org/drawingml/2006/main">
                <a:ext uri="{FF2B5EF4-FFF2-40B4-BE49-F238E27FC236}">
                  <a16:creationId xmlns:a16="http://schemas.microsoft.com/office/drawing/2014/main" id="{59B5053F-2925-4EC8-AF58-4BC1B2E3B6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DFBD92" w14:textId="77777777" w:rsidR="00D3081F" w:rsidRPr="00D3081F" w:rsidRDefault="00D3081F" w:rsidP="00D3081F">
      <w:pPr>
        <w:spacing w:after="0" w:line="240" w:lineRule="auto"/>
        <w:jc w:val="both"/>
        <w:rPr>
          <w:rFonts w:cstheme="minorHAnsi"/>
          <w:lang w:val="en-US"/>
        </w:rPr>
      </w:pPr>
    </w:p>
    <w:p w14:paraId="2C785485" w14:textId="560366F0" w:rsidR="00D3081F" w:rsidRPr="00D3081F" w:rsidRDefault="00B234BC" w:rsidP="00D3081F">
      <w:pPr>
        <w:spacing w:after="0" w:line="240" w:lineRule="auto"/>
        <w:jc w:val="both"/>
        <w:rPr>
          <w:rFonts w:cstheme="minorHAnsi"/>
          <w:sz w:val="24"/>
          <w:szCs w:val="24"/>
          <w:lang w:val="en-US"/>
        </w:rPr>
      </w:pPr>
      <w:r>
        <w:rPr>
          <w:rFonts w:cstheme="minorHAnsi"/>
          <w:b/>
          <w:bCs/>
          <w:sz w:val="24"/>
          <w:szCs w:val="24"/>
          <w:lang w:val="en-US"/>
        </w:rPr>
        <w:t>Improved literacy and numeracy skills</w:t>
      </w:r>
      <w:r w:rsidR="00D3081F" w:rsidRPr="00D3081F">
        <w:rPr>
          <w:rFonts w:cstheme="minorHAnsi"/>
          <w:b/>
          <w:bCs/>
          <w:sz w:val="24"/>
          <w:szCs w:val="24"/>
          <w:lang w:val="en-US"/>
        </w:rPr>
        <w:t xml:space="preserve">. </w:t>
      </w:r>
      <w:r w:rsidR="00D3081F" w:rsidRPr="00D3081F">
        <w:rPr>
          <w:rFonts w:cstheme="minorHAnsi"/>
          <w:sz w:val="24"/>
          <w:szCs w:val="24"/>
          <w:lang w:val="en-US"/>
        </w:rPr>
        <w:t xml:space="preserve">Girls participating in Empowerment Forums had significantly higher increases in their literacy and numeracy skills, over and above the comparison group, and increased their transition rates by 11 percent points. The major gains observed among participants highlight the importance of developing girls’ agency, life skills and peer support networks. The effects seem to be particularly beneficial for girls facing multiple vulnerabilities contributing to mental health issues.  </w:t>
      </w:r>
    </w:p>
    <w:p w14:paraId="1F4F3AED" w14:textId="77777777" w:rsidR="00D3081F" w:rsidRPr="00D3081F" w:rsidRDefault="00D3081F" w:rsidP="00D3081F">
      <w:pPr>
        <w:spacing w:after="0" w:line="240" w:lineRule="auto"/>
        <w:jc w:val="both"/>
        <w:rPr>
          <w:rFonts w:cstheme="minorHAnsi"/>
          <w:b/>
          <w:bCs/>
          <w:sz w:val="24"/>
          <w:szCs w:val="24"/>
          <w:lang w:val="en-US"/>
        </w:rPr>
      </w:pPr>
    </w:p>
    <w:p w14:paraId="003793D2" w14:textId="79AB9D57" w:rsidR="00B234BC" w:rsidRDefault="00B234BC" w:rsidP="00BA6D54">
      <w:pPr>
        <w:spacing w:after="0" w:line="240" w:lineRule="auto"/>
        <w:jc w:val="both"/>
        <w:rPr>
          <w:rFonts w:cstheme="minorHAnsi"/>
          <w:sz w:val="24"/>
          <w:szCs w:val="24"/>
          <w:lang w:val="en-US"/>
        </w:rPr>
      </w:pPr>
      <w:r>
        <w:rPr>
          <w:rFonts w:cstheme="minorHAnsi"/>
          <w:b/>
          <w:bCs/>
          <w:sz w:val="24"/>
          <w:szCs w:val="24"/>
          <w:lang w:val="en-US"/>
        </w:rPr>
        <w:t>Increased t</w:t>
      </w:r>
      <w:r w:rsidR="00D3081F" w:rsidRPr="00D3081F">
        <w:rPr>
          <w:rFonts w:cstheme="minorHAnsi"/>
          <w:b/>
          <w:bCs/>
          <w:sz w:val="24"/>
          <w:szCs w:val="24"/>
          <w:lang w:val="en-US"/>
        </w:rPr>
        <w:t>ransition.</w:t>
      </w:r>
      <w:r w:rsidR="00D3081F" w:rsidRPr="00D3081F">
        <w:rPr>
          <w:rFonts w:cstheme="minorHAnsi"/>
          <w:sz w:val="24"/>
          <w:szCs w:val="24"/>
          <w:lang w:val="en-US"/>
        </w:rPr>
        <w:t xml:space="preserve">  By the second evaluation round, girls with depression in intervention schools had increased their transition rates by 19.8 percentage points over and above those in comparison schools. The result illustrates the effectiveness of the </w:t>
      </w:r>
      <w:proofErr w:type="spellStart"/>
      <w:r w:rsidR="00D3081F" w:rsidRPr="00D3081F">
        <w:rPr>
          <w:rFonts w:cstheme="minorHAnsi"/>
          <w:sz w:val="24"/>
          <w:szCs w:val="24"/>
          <w:lang w:val="en-US"/>
        </w:rPr>
        <w:t>sensitisation</w:t>
      </w:r>
      <w:proofErr w:type="spellEnd"/>
      <w:r w:rsidR="00D3081F" w:rsidRPr="00D3081F">
        <w:rPr>
          <w:rFonts w:cstheme="minorHAnsi"/>
          <w:sz w:val="24"/>
          <w:szCs w:val="24"/>
          <w:lang w:val="en-US"/>
        </w:rPr>
        <w:t xml:space="preserve"> of Community Education Committees and peer-to-peer support received in Girls’ Empowerment Forums.</w:t>
      </w:r>
    </w:p>
    <w:p w14:paraId="47C012F6" w14:textId="77777777" w:rsidR="00BA6D54" w:rsidRDefault="00BA6D54" w:rsidP="00BA6D54">
      <w:pPr>
        <w:spacing w:after="0" w:line="240" w:lineRule="auto"/>
        <w:jc w:val="both"/>
        <w:rPr>
          <w:rFonts w:cstheme="minorHAnsi"/>
          <w:sz w:val="24"/>
          <w:szCs w:val="24"/>
          <w:lang w:val="en-US"/>
        </w:rPr>
      </w:pPr>
    </w:p>
    <w:p w14:paraId="13B157D3" w14:textId="7136A9F6" w:rsidR="00D3081F" w:rsidRPr="00B234BC" w:rsidRDefault="00267BC8" w:rsidP="00814DBF">
      <w:pPr>
        <w:spacing w:after="0" w:line="240" w:lineRule="auto"/>
        <w:jc w:val="both"/>
        <w:rPr>
          <w:b/>
          <w:iCs/>
          <w:lang w:val="en-US"/>
        </w:rPr>
      </w:pPr>
      <w:r w:rsidRPr="00B234BC">
        <w:rPr>
          <w:b/>
          <w:iCs/>
          <w:lang w:val="en-US"/>
        </w:rPr>
        <w:t>Endnotes</w:t>
      </w:r>
    </w:p>
    <w:sectPr w:rsidR="00D3081F" w:rsidRPr="00B234B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84B6" w14:textId="77777777" w:rsidR="00602D79" w:rsidRDefault="00602D79" w:rsidP="00814DBF">
      <w:pPr>
        <w:spacing w:after="0" w:line="240" w:lineRule="auto"/>
      </w:pPr>
      <w:r>
        <w:separator/>
      </w:r>
    </w:p>
  </w:endnote>
  <w:endnote w:type="continuationSeparator" w:id="0">
    <w:p w14:paraId="29C8A174" w14:textId="77777777" w:rsidR="00602D79" w:rsidRDefault="00602D79" w:rsidP="00814DBF">
      <w:pPr>
        <w:spacing w:after="0" w:line="240" w:lineRule="auto"/>
      </w:pPr>
      <w:r>
        <w:continuationSeparator/>
      </w:r>
    </w:p>
  </w:endnote>
  <w:endnote w:id="1">
    <w:p w14:paraId="1727362F" w14:textId="4B58B6BA" w:rsidR="00D3081F" w:rsidRPr="00267BC8" w:rsidRDefault="00D3081F" w:rsidP="00D3081F">
      <w:pPr>
        <w:pStyle w:val="EndnoteText"/>
        <w:rPr>
          <w:rStyle w:val="FootnoteReference"/>
        </w:rPr>
      </w:pPr>
      <w:r w:rsidRPr="00267BC8">
        <w:rPr>
          <w:rStyle w:val="FootnoteReference"/>
        </w:rPr>
        <w:endnoteRef/>
      </w:r>
      <w:r w:rsidRPr="00267BC8">
        <w:rPr>
          <w:rStyle w:val="FootnoteReference"/>
        </w:rPr>
        <w:t xml:space="preserve"> Mills, China.  2018.  From ‘Invisible Problem’ to Global Priority: The Inclusion of Mental Health in the Sustainable Development Goals.  Development and Change 49(3): 843-866. </w:t>
      </w:r>
      <w:hyperlink r:id="rId1" w:history="1">
        <w:r w:rsidRPr="00267BC8">
          <w:rPr>
            <w:rStyle w:val="FootnoteReference"/>
            <w:color w:val="ED7D31" w:themeColor="accent2"/>
            <w:u w:val="single"/>
          </w:rPr>
          <w:t>https://onlinelibrary.wiley.com/doi/full/10.1111/dech.12397</w:t>
        </w:r>
      </w:hyperlink>
      <w:r w:rsidR="00267BC8" w:rsidRPr="00267BC8">
        <w:rPr>
          <w:color w:val="ED7D31" w:themeColor="accent2"/>
        </w:rPr>
        <w:t xml:space="preserve"> </w:t>
      </w:r>
    </w:p>
  </w:endnote>
  <w:endnote w:id="2">
    <w:p w14:paraId="56566684" w14:textId="464DC41F" w:rsidR="00D3081F" w:rsidRPr="00267BC8" w:rsidRDefault="00D3081F" w:rsidP="00D3081F">
      <w:pPr>
        <w:pStyle w:val="EndnoteText"/>
        <w:rPr>
          <w:rStyle w:val="FootnoteReference"/>
        </w:rPr>
      </w:pPr>
      <w:r w:rsidRPr="00267BC8">
        <w:rPr>
          <w:rStyle w:val="FootnoteReference"/>
        </w:rPr>
        <w:endnoteRef/>
      </w:r>
      <w:r w:rsidRPr="00267BC8">
        <w:rPr>
          <w:rStyle w:val="FootnoteReference"/>
        </w:rPr>
        <w:t xml:space="preserve"> UNDP.  Transforming our world: the 2030 Agenda for Sustainable Development.  </w:t>
      </w:r>
      <w:hyperlink r:id="rId2" w:history="1">
        <w:r w:rsidR="00267BC8" w:rsidRPr="00267BC8">
          <w:rPr>
            <w:rStyle w:val="Hyperlink"/>
            <w:color w:val="ED7D31" w:themeColor="accent2"/>
            <w:vertAlign w:val="superscript"/>
          </w:rPr>
          <w:t>https://sustainabledevelopment.un.org/post2015/transformingourworld</w:t>
        </w:r>
      </w:hyperlink>
      <w:r w:rsidR="00267BC8" w:rsidRPr="00267BC8">
        <w:rPr>
          <w:color w:val="ED7D31" w:themeColor="accent2"/>
        </w:rPr>
        <w:t xml:space="preserve"> </w:t>
      </w:r>
    </w:p>
  </w:endnote>
  <w:endnote w:id="3">
    <w:p w14:paraId="4BA7ADB2" w14:textId="736B9F72" w:rsidR="00D3081F" w:rsidRPr="00267BC8" w:rsidRDefault="00D3081F" w:rsidP="00D3081F">
      <w:pPr>
        <w:pStyle w:val="EndnoteText"/>
        <w:rPr>
          <w:rStyle w:val="FootnoteReference"/>
        </w:rPr>
      </w:pPr>
      <w:r w:rsidRPr="00267BC8">
        <w:rPr>
          <w:rStyle w:val="FootnoteReference"/>
        </w:rPr>
        <w:endnoteRef/>
      </w:r>
      <w:r w:rsidRPr="00267BC8">
        <w:rPr>
          <w:rStyle w:val="FootnoteReference"/>
        </w:rPr>
        <w:t xml:space="preserve"> WHO, 2019. Adolescent Mental Health. </w:t>
      </w:r>
      <w:hyperlink r:id="rId3" w:history="1">
        <w:r w:rsidRPr="00267BC8">
          <w:rPr>
            <w:rStyle w:val="FootnoteReference"/>
            <w:color w:val="ED7D31" w:themeColor="accent2"/>
            <w:u w:val="single"/>
          </w:rPr>
          <w:t>https://www.who.int/news-room/fact-sheets/detail/adolescent-mental-health</w:t>
        </w:r>
      </w:hyperlink>
      <w:r w:rsidR="00267BC8">
        <w:rPr>
          <w:rStyle w:val="FootnoteReference"/>
          <w:color w:val="ED7D31" w:themeColor="accent2"/>
          <w:u w:val="single"/>
        </w:rPr>
        <w:t xml:space="preserve"> </w:t>
      </w:r>
      <w:r w:rsidR="00267BC8">
        <w:rPr>
          <w:color w:val="ED7D31" w:themeColor="accent2"/>
          <w:u w:val="single"/>
        </w:rPr>
        <w:t xml:space="preserve"> </w:t>
      </w:r>
    </w:p>
  </w:endnote>
  <w:endnote w:id="4">
    <w:p w14:paraId="7ABF5409" w14:textId="77777777" w:rsidR="00D3081F" w:rsidRPr="00267BC8" w:rsidRDefault="00D3081F" w:rsidP="00D3081F">
      <w:pPr>
        <w:pStyle w:val="EndnoteText"/>
        <w:rPr>
          <w:rStyle w:val="FootnoteReference"/>
        </w:rPr>
      </w:pPr>
      <w:r w:rsidRPr="00267BC8">
        <w:rPr>
          <w:rStyle w:val="FootnoteReference"/>
        </w:rPr>
        <w:endnoteRef/>
      </w:r>
      <w:r w:rsidRPr="00267BC8">
        <w:rPr>
          <w:rStyle w:val="FootnoteReference"/>
        </w:rPr>
        <w:t xml:space="preserve"> WHO. 2010.  Mental health and development: targeting people with mental health conditions as a vulnerable</w:t>
      </w:r>
    </w:p>
    <w:p w14:paraId="1907DD53" w14:textId="77777777" w:rsidR="00D3081F" w:rsidRPr="00267BC8" w:rsidRDefault="00D3081F" w:rsidP="00D3081F">
      <w:pPr>
        <w:pStyle w:val="EndnoteText"/>
        <w:rPr>
          <w:rStyle w:val="FootnoteReference"/>
        </w:rPr>
      </w:pPr>
      <w:r w:rsidRPr="00267BC8">
        <w:rPr>
          <w:rStyle w:val="FootnoteReference"/>
        </w:rPr>
        <w:t xml:space="preserve">Group.  </w:t>
      </w:r>
      <w:hyperlink r:id="rId4" w:history="1">
        <w:r w:rsidRPr="00267BC8">
          <w:rPr>
            <w:rStyle w:val="FootnoteReference"/>
            <w:color w:val="ED7D31" w:themeColor="accent2"/>
            <w:u w:val="single"/>
          </w:rPr>
          <w:t>http://whqlibdoc.who.int/publications/2010/9789241563949_eng.pdf?ua=1</w:t>
        </w:r>
      </w:hyperlink>
      <w:r w:rsidRPr="00267BC8">
        <w:rPr>
          <w:rStyle w:val="FootnoteReference"/>
          <w:color w:val="ED7D31" w:themeColor="accent2"/>
          <w:u w:val="single"/>
        </w:rPr>
        <w:t>.</w:t>
      </w:r>
    </w:p>
  </w:endnote>
  <w:endnote w:id="5">
    <w:p w14:paraId="5DC27CF6" w14:textId="77777777" w:rsidR="00D3081F" w:rsidRPr="00267BC8" w:rsidRDefault="00D3081F" w:rsidP="00D3081F">
      <w:pPr>
        <w:pStyle w:val="EndnoteText"/>
        <w:rPr>
          <w:rStyle w:val="FootnoteReference"/>
        </w:rPr>
      </w:pPr>
      <w:r w:rsidRPr="00267BC8">
        <w:rPr>
          <w:rStyle w:val="FootnoteReference"/>
        </w:rPr>
        <w:endnoteRef/>
      </w:r>
      <w:r w:rsidRPr="00267BC8">
        <w:rPr>
          <w:rStyle w:val="FootnoteReference"/>
        </w:rPr>
        <w:t xml:space="preserve"> As cited in </w:t>
      </w:r>
      <w:proofErr w:type="spellStart"/>
      <w:r w:rsidRPr="00267BC8">
        <w:rPr>
          <w:rStyle w:val="FootnoteReference"/>
        </w:rPr>
        <w:t>Rohwerder</w:t>
      </w:r>
      <w:proofErr w:type="spellEnd"/>
      <w:r w:rsidRPr="00267BC8">
        <w:rPr>
          <w:rStyle w:val="FootnoteReference"/>
        </w:rPr>
        <w:t xml:space="preserve">, B.  2018.  Disability in Somalia.  K4D Helpdesk Report.  Brighton, UK: Institute of Development Studies. </w:t>
      </w:r>
      <w:r w:rsidRPr="00267BC8">
        <w:rPr>
          <w:rStyle w:val="FootnoteReference"/>
          <w:color w:val="ED7D31" w:themeColor="accent2"/>
          <w:u w:val="single"/>
        </w:rPr>
        <w:t xml:space="preserve"> </w:t>
      </w:r>
      <w:hyperlink r:id="rId5" w:history="1">
        <w:r w:rsidRPr="00267BC8">
          <w:rPr>
            <w:rStyle w:val="FootnoteReference"/>
            <w:color w:val="ED7D31" w:themeColor="accent2"/>
            <w:u w:val="single"/>
          </w:rPr>
          <w:t>https://gsdrc.org/wp-content/uploads/2018/02/266-Disability-in-Somalia.pdf</w:t>
        </w:r>
      </w:hyperlink>
    </w:p>
  </w:endnote>
  <w:endnote w:id="6">
    <w:p w14:paraId="0940D1F9" w14:textId="77777777" w:rsidR="00D3081F" w:rsidRPr="00267BC8" w:rsidRDefault="00D3081F" w:rsidP="00D3081F">
      <w:pPr>
        <w:pStyle w:val="EndnoteText"/>
        <w:rPr>
          <w:rStyle w:val="FootnoteReference"/>
        </w:rPr>
      </w:pPr>
      <w:r w:rsidRPr="00267BC8">
        <w:rPr>
          <w:rStyle w:val="FootnoteReference"/>
        </w:rPr>
        <w:endnoteRef/>
      </w:r>
      <w:r w:rsidRPr="00267BC8">
        <w:rPr>
          <w:rStyle w:val="FootnoteReference"/>
        </w:rPr>
        <w:t xml:space="preserve"> CESVI &amp; Handicap International. “Children with Disabilities in Somaliland: A knowledge, attitudes, and practices household survey.” (2017): 1-39.  </w:t>
      </w:r>
      <w:hyperlink r:id="rId6" w:history="1">
        <w:r w:rsidRPr="00267BC8">
          <w:rPr>
            <w:rStyle w:val="FootnoteReference"/>
            <w:color w:val="ED7D31" w:themeColor="accent2"/>
            <w:u w:val="single"/>
          </w:rPr>
          <w:t>https://www.humanitarianresponse.info/sites/www.humanitarianresponse.info/files/assessments/Somaliland%20Children%20with%20Disabilities%20KAP.pdf</w:t>
        </w:r>
      </w:hyperlink>
    </w:p>
  </w:endnote>
  <w:endnote w:id="7">
    <w:p w14:paraId="16C3E074" w14:textId="77777777" w:rsidR="00D3081F" w:rsidRDefault="00D3081F" w:rsidP="00D3081F">
      <w:pPr>
        <w:pStyle w:val="EndnoteText"/>
      </w:pPr>
      <w:r w:rsidRPr="00267BC8">
        <w:rPr>
          <w:rStyle w:val="FootnoteReference"/>
        </w:rPr>
        <w:endnoteRef/>
      </w:r>
      <w:r w:rsidRPr="00267BC8">
        <w:rPr>
          <w:rStyle w:val="FootnoteReference"/>
        </w:rPr>
        <w:t xml:space="preserve"> Cohort girls’ caregivers were asked if the girls were anxious or depressed and for how long they showed signs of this.  Methodological limitations to anxiety and depression prevalence include a variable understanding of terms used in the question in the context of a low level of understanding of and the absence of clinical verification of anxiety or depression.  In addition, total sample sizes with disability with the SOMGEP-T cohorts are small (e.g. 52, 66).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roman"/>
    <w:notTrueType/>
    <w:pitch w:val="default"/>
  </w:font>
  <w:font w:name="ITC Officina Sans Std Book">
    <w:altName w:val="Calibri"/>
    <w:charset w:val="00"/>
    <w:family w:val="auto"/>
    <w:pitch w:val="default"/>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170270"/>
      <w:docPartObj>
        <w:docPartGallery w:val="Page Numbers (Bottom of Page)"/>
        <w:docPartUnique/>
      </w:docPartObj>
    </w:sdtPr>
    <w:sdtEndPr>
      <w:rPr>
        <w:noProof/>
      </w:rPr>
    </w:sdtEndPr>
    <w:sdtContent>
      <w:p w14:paraId="1B9BAF12" w14:textId="56322F3D" w:rsidR="0033735A" w:rsidRDefault="0033735A">
        <w:pPr>
          <w:pStyle w:val="Footer"/>
          <w:jc w:val="right"/>
        </w:pPr>
        <w:r>
          <w:fldChar w:fldCharType="begin"/>
        </w:r>
        <w:r>
          <w:instrText xml:space="preserve"> PAGE   \* MERGEFORMAT </w:instrText>
        </w:r>
        <w:r>
          <w:fldChar w:fldCharType="separate"/>
        </w:r>
        <w:r w:rsidR="00A144AC">
          <w:rPr>
            <w:noProof/>
          </w:rPr>
          <w:t>1</w:t>
        </w:r>
        <w:r>
          <w:rPr>
            <w:noProof/>
          </w:rPr>
          <w:fldChar w:fldCharType="end"/>
        </w:r>
      </w:p>
    </w:sdtContent>
  </w:sdt>
  <w:p w14:paraId="7D39643C" w14:textId="77777777" w:rsidR="0033735A" w:rsidRDefault="0033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B2DB" w14:textId="77777777" w:rsidR="00602D79" w:rsidRDefault="00602D79" w:rsidP="00814DBF">
      <w:pPr>
        <w:spacing w:after="0" w:line="240" w:lineRule="auto"/>
      </w:pPr>
      <w:r>
        <w:separator/>
      </w:r>
    </w:p>
  </w:footnote>
  <w:footnote w:type="continuationSeparator" w:id="0">
    <w:p w14:paraId="0ABCDB8B" w14:textId="77777777" w:rsidR="00602D79" w:rsidRDefault="00602D79" w:rsidP="00814DBF">
      <w:pPr>
        <w:spacing w:after="0" w:line="240" w:lineRule="auto"/>
      </w:pPr>
      <w:r>
        <w:continuationSeparator/>
      </w:r>
    </w:p>
  </w:footnote>
  <w:footnote w:id="1">
    <w:p w14:paraId="220E3C2C" w14:textId="77777777" w:rsidR="00D3081F" w:rsidRPr="005839A3" w:rsidRDefault="00D3081F" w:rsidP="00D3081F">
      <w:pPr>
        <w:pStyle w:val="FootnoteText"/>
        <w:rPr>
          <w:lang w:val="en-US"/>
        </w:rPr>
      </w:pPr>
      <w:r>
        <w:rPr>
          <w:rStyle w:val="FootnoteReference"/>
        </w:rPr>
        <w:footnoteRef/>
      </w:r>
      <w:r>
        <w:t xml:space="preserve"> </w:t>
      </w:r>
      <w:r>
        <w:rPr>
          <w:lang w:val="en-US"/>
        </w:rPr>
        <w:t>According to IOM (</w:t>
      </w:r>
      <w:hyperlink r:id="rId1" w:history="1">
        <w:r w:rsidRPr="00B4752A">
          <w:rPr>
            <w:rStyle w:val="Hyperlink"/>
            <w:lang w:val="en-US"/>
          </w:rPr>
          <w:t>https://www.internal-displacement.org/countries/somalia</w:t>
        </w:r>
      </w:hyperlink>
      <w:r>
        <w:rPr>
          <w:lang w:val="en-US"/>
        </w:rPr>
        <w:t>, accessed on May 4,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AD95" w14:textId="197D10AB" w:rsidR="0023420B" w:rsidRDefault="0023420B" w:rsidP="00672FCB">
    <w:pPr>
      <w:pStyle w:val="Header"/>
      <w:tabs>
        <w:tab w:val="clear" w:pos="4680"/>
        <w:tab w:val="clear" w:pos="936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969"/>
    <w:multiLevelType w:val="hybridMultilevel"/>
    <w:tmpl w:val="B0DE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B67FDB"/>
    <w:multiLevelType w:val="hybridMultilevel"/>
    <w:tmpl w:val="848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D42F4"/>
    <w:multiLevelType w:val="hybridMultilevel"/>
    <w:tmpl w:val="5AA6E8B2"/>
    <w:lvl w:ilvl="0" w:tplc="60CE2BE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521CA"/>
    <w:multiLevelType w:val="hybridMultilevel"/>
    <w:tmpl w:val="1994A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393EDF"/>
    <w:multiLevelType w:val="hybridMultilevel"/>
    <w:tmpl w:val="6D1C502A"/>
    <w:lvl w:ilvl="0" w:tplc="AB2401B0">
      <w:start w:val="1"/>
      <w:numFmt w:val="bullet"/>
      <w:lvlText w:val="•"/>
      <w:lvlJc w:val="left"/>
      <w:pPr>
        <w:tabs>
          <w:tab w:val="num" w:pos="720"/>
        </w:tabs>
        <w:ind w:left="720" w:hanging="360"/>
      </w:pPr>
      <w:rPr>
        <w:rFonts w:ascii="Arial" w:hAnsi="Arial" w:hint="default"/>
      </w:rPr>
    </w:lvl>
    <w:lvl w:ilvl="1" w:tplc="33D61198" w:tentative="1">
      <w:start w:val="1"/>
      <w:numFmt w:val="bullet"/>
      <w:lvlText w:val="•"/>
      <w:lvlJc w:val="left"/>
      <w:pPr>
        <w:tabs>
          <w:tab w:val="num" w:pos="1440"/>
        </w:tabs>
        <w:ind w:left="1440" w:hanging="360"/>
      </w:pPr>
      <w:rPr>
        <w:rFonts w:ascii="Arial" w:hAnsi="Arial" w:hint="default"/>
      </w:rPr>
    </w:lvl>
    <w:lvl w:ilvl="2" w:tplc="308AA9AE" w:tentative="1">
      <w:start w:val="1"/>
      <w:numFmt w:val="bullet"/>
      <w:lvlText w:val="•"/>
      <w:lvlJc w:val="left"/>
      <w:pPr>
        <w:tabs>
          <w:tab w:val="num" w:pos="2160"/>
        </w:tabs>
        <w:ind w:left="2160" w:hanging="360"/>
      </w:pPr>
      <w:rPr>
        <w:rFonts w:ascii="Arial" w:hAnsi="Arial" w:hint="default"/>
      </w:rPr>
    </w:lvl>
    <w:lvl w:ilvl="3" w:tplc="0D20E758" w:tentative="1">
      <w:start w:val="1"/>
      <w:numFmt w:val="bullet"/>
      <w:lvlText w:val="•"/>
      <w:lvlJc w:val="left"/>
      <w:pPr>
        <w:tabs>
          <w:tab w:val="num" w:pos="2880"/>
        </w:tabs>
        <w:ind w:left="2880" w:hanging="360"/>
      </w:pPr>
      <w:rPr>
        <w:rFonts w:ascii="Arial" w:hAnsi="Arial" w:hint="default"/>
      </w:rPr>
    </w:lvl>
    <w:lvl w:ilvl="4" w:tplc="CD225098" w:tentative="1">
      <w:start w:val="1"/>
      <w:numFmt w:val="bullet"/>
      <w:lvlText w:val="•"/>
      <w:lvlJc w:val="left"/>
      <w:pPr>
        <w:tabs>
          <w:tab w:val="num" w:pos="3600"/>
        </w:tabs>
        <w:ind w:left="3600" w:hanging="360"/>
      </w:pPr>
      <w:rPr>
        <w:rFonts w:ascii="Arial" w:hAnsi="Arial" w:hint="default"/>
      </w:rPr>
    </w:lvl>
    <w:lvl w:ilvl="5" w:tplc="57EC5A04" w:tentative="1">
      <w:start w:val="1"/>
      <w:numFmt w:val="bullet"/>
      <w:lvlText w:val="•"/>
      <w:lvlJc w:val="left"/>
      <w:pPr>
        <w:tabs>
          <w:tab w:val="num" w:pos="4320"/>
        </w:tabs>
        <w:ind w:left="4320" w:hanging="360"/>
      </w:pPr>
      <w:rPr>
        <w:rFonts w:ascii="Arial" w:hAnsi="Arial" w:hint="default"/>
      </w:rPr>
    </w:lvl>
    <w:lvl w:ilvl="6" w:tplc="A6EE63F2" w:tentative="1">
      <w:start w:val="1"/>
      <w:numFmt w:val="bullet"/>
      <w:lvlText w:val="•"/>
      <w:lvlJc w:val="left"/>
      <w:pPr>
        <w:tabs>
          <w:tab w:val="num" w:pos="5040"/>
        </w:tabs>
        <w:ind w:left="5040" w:hanging="360"/>
      </w:pPr>
      <w:rPr>
        <w:rFonts w:ascii="Arial" w:hAnsi="Arial" w:hint="default"/>
      </w:rPr>
    </w:lvl>
    <w:lvl w:ilvl="7" w:tplc="DA84B756" w:tentative="1">
      <w:start w:val="1"/>
      <w:numFmt w:val="bullet"/>
      <w:lvlText w:val="•"/>
      <w:lvlJc w:val="left"/>
      <w:pPr>
        <w:tabs>
          <w:tab w:val="num" w:pos="5760"/>
        </w:tabs>
        <w:ind w:left="5760" w:hanging="360"/>
      </w:pPr>
      <w:rPr>
        <w:rFonts w:ascii="Arial" w:hAnsi="Arial" w:hint="default"/>
      </w:rPr>
    </w:lvl>
    <w:lvl w:ilvl="8" w:tplc="0F627F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D207CF"/>
    <w:multiLevelType w:val="hybridMultilevel"/>
    <w:tmpl w:val="931C4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BD5FDC"/>
    <w:multiLevelType w:val="hybridMultilevel"/>
    <w:tmpl w:val="18B08660"/>
    <w:lvl w:ilvl="0" w:tplc="98DCCF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DB26EB"/>
    <w:multiLevelType w:val="hybridMultilevel"/>
    <w:tmpl w:val="95AC5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DBF"/>
    <w:rsid w:val="00017FAC"/>
    <w:rsid w:val="0002155A"/>
    <w:rsid w:val="000440BC"/>
    <w:rsid w:val="000530D5"/>
    <w:rsid w:val="000A1386"/>
    <w:rsid w:val="000B374C"/>
    <w:rsid w:val="000D7CA7"/>
    <w:rsid w:val="00101AD5"/>
    <w:rsid w:val="00104F62"/>
    <w:rsid w:val="001102DF"/>
    <w:rsid w:val="001849CC"/>
    <w:rsid w:val="001A3C3F"/>
    <w:rsid w:val="001A4A56"/>
    <w:rsid w:val="001E6817"/>
    <w:rsid w:val="00212C15"/>
    <w:rsid w:val="0021403B"/>
    <w:rsid w:val="0023420B"/>
    <w:rsid w:val="00267BC8"/>
    <w:rsid w:val="002C344D"/>
    <w:rsid w:val="002D4577"/>
    <w:rsid w:val="0033735A"/>
    <w:rsid w:val="00376A4B"/>
    <w:rsid w:val="00394324"/>
    <w:rsid w:val="003A76D1"/>
    <w:rsid w:val="003B10E3"/>
    <w:rsid w:val="003F7AE0"/>
    <w:rsid w:val="00477A8E"/>
    <w:rsid w:val="004C66A3"/>
    <w:rsid w:val="00515705"/>
    <w:rsid w:val="00515B02"/>
    <w:rsid w:val="00522B3E"/>
    <w:rsid w:val="00533824"/>
    <w:rsid w:val="0057003A"/>
    <w:rsid w:val="00602D79"/>
    <w:rsid w:val="00672FCB"/>
    <w:rsid w:val="00695A1D"/>
    <w:rsid w:val="006B050C"/>
    <w:rsid w:val="006D0CA8"/>
    <w:rsid w:val="00707B3C"/>
    <w:rsid w:val="00770625"/>
    <w:rsid w:val="007A424C"/>
    <w:rsid w:val="007E0831"/>
    <w:rsid w:val="00804831"/>
    <w:rsid w:val="00814DBF"/>
    <w:rsid w:val="008A2D6B"/>
    <w:rsid w:val="008B21CD"/>
    <w:rsid w:val="008D3306"/>
    <w:rsid w:val="0090722C"/>
    <w:rsid w:val="0093060E"/>
    <w:rsid w:val="00940886"/>
    <w:rsid w:val="00950A2F"/>
    <w:rsid w:val="009D23C3"/>
    <w:rsid w:val="00A144AC"/>
    <w:rsid w:val="00A753D4"/>
    <w:rsid w:val="00A91AC2"/>
    <w:rsid w:val="00AB5419"/>
    <w:rsid w:val="00AE0025"/>
    <w:rsid w:val="00B065EC"/>
    <w:rsid w:val="00B234BC"/>
    <w:rsid w:val="00B44921"/>
    <w:rsid w:val="00B56DD5"/>
    <w:rsid w:val="00B57C36"/>
    <w:rsid w:val="00B77734"/>
    <w:rsid w:val="00B87D90"/>
    <w:rsid w:val="00BA6D54"/>
    <w:rsid w:val="00BD1576"/>
    <w:rsid w:val="00C10668"/>
    <w:rsid w:val="00C6055A"/>
    <w:rsid w:val="00C833D9"/>
    <w:rsid w:val="00D3081F"/>
    <w:rsid w:val="00D57AB7"/>
    <w:rsid w:val="00D9675F"/>
    <w:rsid w:val="00DB059D"/>
    <w:rsid w:val="00DC3F64"/>
    <w:rsid w:val="00DD4B16"/>
    <w:rsid w:val="00E105C2"/>
    <w:rsid w:val="00E6282E"/>
    <w:rsid w:val="00E87C28"/>
    <w:rsid w:val="00E93D93"/>
    <w:rsid w:val="00ED1C7A"/>
    <w:rsid w:val="00EE0957"/>
    <w:rsid w:val="00F321EB"/>
    <w:rsid w:val="00FB2221"/>
    <w:rsid w:val="00FC266E"/>
    <w:rsid w:val="00FD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B37F3"/>
  <w15:chartTrackingRefBased/>
  <w15:docId w15:val="{1A786EF4-4919-4438-AAD6-B6775F89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4DBF"/>
    <w:pPr>
      <w:spacing w:after="160" w:line="256" w:lineRule="auto"/>
    </w:pPr>
    <w:rPr>
      <w:lang w:val="fr-FR"/>
    </w:rPr>
  </w:style>
  <w:style w:type="paragraph" w:styleId="Heading1">
    <w:name w:val="heading 1"/>
    <w:basedOn w:val="Normal"/>
    <w:next w:val="Normal"/>
    <w:link w:val="Heading1Char"/>
    <w:uiPriority w:val="9"/>
    <w:qFormat/>
    <w:rsid w:val="004C66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2F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DBF"/>
    <w:pPr>
      <w:ind w:left="720"/>
      <w:contextualSpacing/>
    </w:pPr>
  </w:style>
  <w:style w:type="paragraph" w:styleId="FootnoteText">
    <w:name w:val="footnote text"/>
    <w:basedOn w:val="Normal"/>
    <w:link w:val="FootnoteTextChar"/>
    <w:uiPriority w:val="99"/>
    <w:semiHidden/>
    <w:unhideWhenUsed/>
    <w:rsid w:val="00814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DBF"/>
    <w:rPr>
      <w:sz w:val="20"/>
      <w:szCs w:val="20"/>
      <w:lang w:val="fr-FR"/>
    </w:rPr>
  </w:style>
  <w:style w:type="character" w:styleId="FootnoteReference">
    <w:name w:val="footnote reference"/>
    <w:aliases w:val="Footnote E,ftref,Footnote Reference Char Char Char,Carattere Char Carattere Carattere Char Carattere Char Carattere Char Char Char1 Char,Carattere Carattere Char Char Char Carattere Char,16 Point,Superscript 6 Point,Carattere Char1,fr"/>
    <w:basedOn w:val="DefaultParagraphFont"/>
    <w:link w:val="Char2"/>
    <w:uiPriority w:val="99"/>
    <w:unhideWhenUsed/>
    <w:qFormat/>
    <w:rsid w:val="00814DBF"/>
    <w:rPr>
      <w:vertAlign w:val="superscript"/>
    </w:rPr>
  </w:style>
  <w:style w:type="character" w:styleId="CommentReference">
    <w:name w:val="annotation reference"/>
    <w:basedOn w:val="DefaultParagraphFont"/>
    <w:uiPriority w:val="99"/>
    <w:semiHidden/>
    <w:unhideWhenUsed/>
    <w:rsid w:val="00814DBF"/>
    <w:rPr>
      <w:sz w:val="16"/>
      <w:szCs w:val="16"/>
    </w:rPr>
  </w:style>
  <w:style w:type="paragraph" w:styleId="CommentText">
    <w:name w:val="annotation text"/>
    <w:basedOn w:val="Normal"/>
    <w:link w:val="CommentTextChar"/>
    <w:uiPriority w:val="99"/>
    <w:semiHidden/>
    <w:unhideWhenUsed/>
    <w:rsid w:val="00814DBF"/>
    <w:pPr>
      <w:spacing w:line="240" w:lineRule="auto"/>
    </w:pPr>
    <w:rPr>
      <w:sz w:val="20"/>
      <w:szCs w:val="20"/>
    </w:rPr>
  </w:style>
  <w:style w:type="character" w:customStyle="1" w:styleId="CommentTextChar">
    <w:name w:val="Comment Text Char"/>
    <w:basedOn w:val="DefaultParagraphFont"/>
    <w:link w:val="CommentText"/>
    <w:uiPriority w:val="99"/>
    <w:semiHidden/>
    <w:rsid w:val="00814DBF"/>
    <w:rPr>
      <w:sz w:val="20"/>
      <w:szCs w:val="20"/>
      <w:lang w:val="fr-FR"/>
    </w:rPr>
  </w:style>
  <w:style w:type="table" w:styleId="TableGrid">
    <w:name w:val="Table Grid"/>
    <w:basedOn w:val="TableNormal"/>
    <w:uiPriority w:val="39"/>
    <w:rsid w:val="00814DBF"/>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DBF"/>
    <w:rPr>
      <w:rFonts w:ascii="Segoe UI" w:hAnsi="Segoe UI" w:cs="Segoe UI"/>
      <w:sz w:val="18"/>
      <w:szCs w:val="18"/>
      <w:lang w:val="fr-FR"/>
    </w:rPr>
  </w:style>
  <w:style w:type="paragraph" w:styleId="Header">
    <w:name w:val="header"/>
    <w:basedOn w:val="Normal"/>
    <w:link w:val="HeaderChar"/>
    <w:uiPriority w:val="99"/>
    <w:unhideWhenUsed/>
    <w:rsid w:val="008A2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6B"/>
    <w:rPr>
      <w:lang w:val="fr-FR"/>
    </w:rPr>
  </w:style>
  <w:style w:type="paragraph" w:styleId="Footer">
    <w:name w:val="footer"/>
    <w:basedOn w:val="Normal"/>
    <w:link w:val="FooterChar"/>
    <w:uiPriority w:val="99"/>
    <w:unhideWhenUsed/>
    <w:rsid w:val="008A2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6B"/>
    <w:rPr>
      <w:lang w:val="fr-FR"/>
    </w:rPr>
  </w:style>
  <w:style w:type="paragraph" w:styleId="CommentSubject">
    <w:name w:val="annotation subject"/>
    <w:basedOn w:val="CommentText"/>
    <w:next w:val="CommentText"/>
    <w:link w:val="CommentSubjectChar"/>
    <w:uiPriority w:val="99"/>
    <w:semiHidden/>
    <w:unhideWhenUsed/>
    <w:rsid w:val="00D9675F"/>
    <w:rPr>
      <w:b/>
      <w:bCs/>
    </w:rPr>
  </w:style>
  <w:style w:type="character" w:customStyle="1" w:styleId="CommentSubjectChar">
    <w:name w:val="Comment Subject Char"/>
    <w:basedOn w:val="CommentTextChar"/>
    <w:link w:val="CommentSubject"/>
    <w:uiPriority w:val="99"/>
    <w:semiHidden/>
    <w:rsid w:val="00D9675F"/>
    <w:rPr>
      <w:b/>
      <w:bCs/>
      <w:sz w:val="20"/>
      <w:szCs w:val="20"/>
      <w:lang w:val="fr-FR"/>
    </w:rPr>
  </w:style>
  <w:style w:type="paragraph" w:styleId="Revision">
    <w:name w:val="Revision"/>
    <w:hidden/>
    <w:uiPriority w:val="99"/>
    <w:semiHidden/>
    <w:rsid w:val="00D9675F"/>
    <w:rPr>
      <w:lang w:val="fr-FR"/>
    </w:rPr>
  </w:style>
  <w:style w:type="paragraph" w:styleId="Caption">
    <w:name w:val="caption"/>
    <w:basedOn w:val="Normal"/>
    <w:next w:val="Normal"/>
    <w:uiPriority w:val="35"/>
    <w:unhideWhenUsed/>
    <w:qFormat/>
    <w:rsid w:val="004C66A3"/>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4C66A3"/>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672FCB"/>
    <w:rPr>
      <w:rFonts w:asciiTheme="majorHAnsi" w:eastAsiaTheme="majorEastAsia" w:hAnsiTheme="majorHAnsi" w:cstheme="majorBidi"/>
      <w:color w:val="2F5496" w:themeColor="accent1" w:themeShade="BF"/>
      <w:sz w:val="26"/>
      <w:szCs w:val="26"/>
      <w:lang w:val="fr-FR"/>
    </w:rPr>
  </w:style>
  <w:style w:type="paragraph" w:customStyle="1" w:styleId="BasicParagraph">
    <w:name w:val="[Basic Paragraph]"/>
    <w:basedOn w:val="Normal"/>
    <w:rsid w:val="00672FCB"/>
    <w:pPr>
      <w:spacing w:after="0" w:line="288" w:lineRule="auto"/>
    </w:pPr>
    <w:rPr>
      <w:rFonts w:ascii="MinionPro-Regular" w:eastAsia="Times New Roman" w:hAnsi="MinionPro-Regular" w:cs="Times New Roman"/>
      <w:color w:val="000000"/>
      <w:kern w:val="28"/>
      <w:sz w:val="24"/>
      <w:szCs w:val="24"/>
      <w:lang w:val="en-US"/>
      <w14:ligatures w14:val="standard"/>
      <w14:cntxtAlts/>
    </w:rPr>
  </w:style>
  <w:style w:type="paragraph" w:customStyle="1" w:styleId="Char2">
    <w:name w:val="Char2"/>
    <w:basedOn w:val="Normal"/>
    <w:link w:val="FootnoteReference"/>
    <w:uiPriority w:val="99"/>
    <w:rsid w:val="00D3081F"/>
    <w:pPr>
      <w:spacing w:line="240" w:lineRule="exact"/>
    </w:pPr>
    <w:rPr>
      <w:vertAlign w:val="superscript"/>
      <w:lang w:val="en-US"/>
    </w:rPr>
  </w:style>
  <w:style w:type="character" w:styleId="Hyperlink">
    <w:name w:val="Hyperlink"/>
    <w:basedOn w:val="DefaultParagraphFont"/>
    <w:uiPriority w:val="99"/>
    <w:unhideWhenUsed/>
    <w:rsid w:val="00D3081F"/>
    <w:rPr>
      <w:color w:val="0000FF"/>
      <w:u w:val="single"/>
    </w:rPr>
  </w:style>
  <w:style w:type="paragraph" w:styleId="EndnoteText">
    <w:name w:val="endnote text"/>
    <w:basedOn w:val="Normal"/>
    <w:link w:val="EndnoteTextChar"/>
    <w:uiPriority w:val="99"/>
    <w:semiHidden/>
    <w:unhideWhenUsed/>
    <w:rsid w:val="00D3081F"/>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D3081F"/>
    <w:rPr>
      <w:sz w:val="20"/>
      <w:szCs w:val="20"/>
    </w:rPr>
  </w:style>
  <w:style w:type="character" w:styleId="EndnoteReference">
    <w:name w:val="endnote reference"/>
    <w:basedOn w:val="DefaultParagraphFont"/>
    <w:uiPriority w:val="99"/>
    <w:semiHidden/>
    <w:unhideWhenUsed/>
    <w:rsid w:val="00D3081F"/>
    <w:rPr>
      <w:vertAlign w:val="superscript"/>
    </w:rPr>
  </w:style>
  <w:style w:type="character" w:styleId="FollowedHyperlink">
    <w:name w:val="FollowedHyperlink"/>
    <w:basedOn w:val="DefaultParagraphFont"/>
    <w:uiPriority w:val="99"/>
    <w:semiHidden/>
    <w:unhideWhenUsed/>
    <w:rsid w:val="0002155A"/>
    <w:rPr>
      <w:color w:val="954F72" w:themeColor="followedHyperlink"/>
      <w:u w:val="single"/>
    </w:rPr>
  </w:style>
  <w:style w:type="character" w:customStyle="1" w:styleId="UnresolvedMention1">
    <w:name w:val="Unresolved Mention1"/>
    <w:basedOn w:val="DefaultParagraphFont"/>
    <w:uiPriority w:val="99"/>
    <w:semiHidden/>
    <w:unhideWhenUsed/>
    <w:rsid w:val="00267BC8"/>
    <w:rPr>
      <w:color w:val="605E5C"/>
      <w:shd w:val="clear" w:color="auto" w:fill="E1DFDD"/>
    </w:rPr>
  </w:style>
  <w:style w:type="character" w:styleId="UnresolvedMention">
    <w:name w:val="Unresolved Mention"/>
    <w:basedOn w:val="DefaultParagraphFont"/>
    <w:uiPriority w:val="99"/>
    <w:semiHidden/>
    <w:unhideWhenUsed/>
    <w:rsid w:val="00BA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6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shingtongroup-disability.com/washington-group-question-sets/" TargetMode="External"/><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ingtongroup-disability.com/washington-group-question-sets/"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who.int/news-room/fact-sheets/detail/adolescent-mental-health" TargetMode="External"/><Relationship Id="rId2" Type="http://schemas.openxmlformats.org/officeDocument/2006/relationships/hyperlink" Target="https://sustainabledevelopment.un.org/post2015/transformingourworld" TargetMode="External"/><Relationship Id="rId1" Type="http://schemas.openxmlformats.org/officeDocument/2006/relationships/hyperlink" Target="https://onlinelibrary.wiley.com/doi/full/10.1111/dech.12397" TargetMode="External"/><Relationship Id="rId6" Type="http://schemas.openxmlformats.org/officeDocument/2006/relationships/hyperlink" Target="https://www.humanitarianresponse.info/sites/www.humanitarianresponse.info/files/assessments/Somaliland%20Children%20with%20Disabilities%20KAP.pdf" TargetMode="External"/><Relationship Id="rId5" Type="http://schemas.openxmlformats.org/officeDocument/2006/relationships/hyperlink" Target="https://gsdrc.org/wp-content/uploads/2018/02/266-Disability-in-Somalia.pdf" TargetMode="External"/><Relationship Id="rId4" Type="http://schemas.openxmlformats.org/officeDocument/2006/relationships/hyperlink" Target="http://whqlibdoc.who.int/publications/2010/9789241563949_eng.pdf?u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ternal-displacement.org/countries/somali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Any disability (other than anxiety and/or depression)</c:v>
                </c:pt>
              </c:strCache>
            </c:strRef>
          </c:tx>
          <c:spPr>
            <a:solidFill>
              <a:srgbClr val="FF3367"/>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Baseline</c:v>
                </c:pt>
                <c:pt idx="1">
                  <c:v>3rd evaluation round</c:v>
                </c:pt>
              </c:strCache>
            </c:strRef>
          </c:cat>
          <c:val>
            <c:numRef>
              <c:f>Sheet1!$B$2:$C$2</c:f>
              <c:numCache>
                <c:formatCode>0.00%</c:formatCode>
                <c:ptCount val="2"/>
                <c:pt idx="0">
                  <c:v>6.9000000000000006E-2</c:v>
                </c:pt>
                <c:pt idx="1">
                  <c:v>3.5999999999999997E-2</c:v>
                </c:pt>
              </c:numCache>
            </c:numRef>
          </c:val>
          <c:extLst>
            <c:ext xmlns:c16="http://schemas.microsoft.com/office/drawing/2014/chart" uri="{C3380CC4-5D6E-409C-BE32-E72D297353CC}">
              <c16:uniqueId val="{00000000-F5FF-944E-BE98-6E897EC1C82F}"/>
            </c:ext>
          </c:extLst>
        </c:ser>
        <c:ser>
          <c:idx val="1"/>
          <c:order val="1"/>
          <c:tx>
            <c:strRef>
              <c:f>Sheet1!$A$3</c:f>
              <c:strCache>
                <c:ptCount val="1"/>
                <c:pt idx="0">
                  <c:v>Anxiety</c:v>
                </c:pt>
              </c:strCache>
            </c:strRef>
          </c:tx>
          <c:spPr>
            <a:solidFill>
              <a:schemeClr val="accent2"/>
            </a:solidFill>
            <a:ln>
              <a:noFill/>
            </a:ln>
            <a:effectLst/>
          </c:spPr>
          <c:invertIfNegative val="0"/>
          <c:dLbls>
            <c:dLbl>
              <c:idx val="0"/>
              <c:layout>
                <c:manualLayout>
                  <c:x val="-5.1067190940247323E-17"/>
                  <c:y val="1.7881090746535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FF-944E-BE98-6E897EC1C82F}"/>
                </c:ext>
              </c:extLst>
            </c:dLbl>
            <c:dLbl>
              <c:idx val="1"/>
              <c:layout>
                <c:manualLayout>
                  <c:x val="0"/>
                  <c:y val="1.34108180599016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FF-944E-BE98-6E897EC1C82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Baseline</c:v>
                </c:pt>
                <c:pt idx="1">
                  <c:v>3rd evaluation round</c:v>
                </c:pt>
              </c:strCache>
            </c:strRef>
          </c:cat>
          <c:val>
            <c:numRef>
              <c:f>Sheet1!$B$3:$C$3</c:f>
              <c:numCache>
                <c:formatCode>0.00%</c:formatCode>
                <c:ptCount val="2"/>
                <c:pt idx="0">
                  <c:v>0.16300000000000001</c:v>
                </c:pt>
                <c:pt idx="1">
                  <c:v>6.5000000000000002E-2</c:v>
                </c:pt>
              </c:numCache>
            </c:numRef>
          </c:val>
          <c:extLst>
            <c:ext xmlns:c16="http://schemas.microsoft.com/office/drawing/2014/chart" uri="{C3380CC4-5D6E-409C-BE32-E72D297353CC}">
              <c16:uniqueId val="{00000003-F5FF-944E-BE98-6E897EC1C82F}"/>
            </c:ext>
          </c:extLst>
        </c:ser>
        <c:ser>
          <c:idx val="2"/>
          <c:order val="2"/>
          <c:tx>
            <c:strRef>
              <c:f>Sheet1!$A$4</c:f>
              <c:strCache>
                <c:ptCount val="1"/>
                <c:pt idx="0">
                  <c:v>Depression</c:v>
                </c:pt>
              </c:strCache>
            </c:strRef>
          </c:tx>
          <c:spPr>
            <a:solidFill>
              <a:srgbClr val="FFC000"/>
            </a:solidFill>
            <a:ln>
              <a:noFill/>
            </a:ln>
            <a:effectLst/>
          </c:spPr>
          <c:invertIfNegative val="0"/>
          <c:dLbls>
            <c:dLbl>
              <c:idx val="0"/>
              <c:layout>
                <c:manualLayout>
                  <c:x val="2.6771653543307085E-3"/>
                  <c:y val="1.2773364214587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FF-944E-BE98-6E897EC1C82F}"/>
                </c:ext>
              </c:extLst>
            </c:dLbl>
            <c:dLbl>
              <c:idx val="1"/>
              <c:layout>
                <c:manualLayout>
                  <c:x val="-1.0834996600365531E-4"/>
                  <c:y val="2.1713909587855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FF-944E-BE98-6E897EC1C82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Baseline</c:v>
                </c:pt>
                <c:pt idx="1">
                  <c:v>3rd evaluation round</c:v>
                </c:pt>
              </c:strCache>
            </c:strRef>
          </c:cat>
          <c:val>
            <c:numRef>
              <c:f>Sheet1!$B$4:$C$4</c:f>
              <c:numCache>
                <c:formatCode>0.00%</c:formatCode>
                <c:ptCount val="2"/>
                <c:pt idx="0">
                  <c:v>0.13400000000000001</c:v>
                </c:pt>
                <c:pt idx="1">
                  <c:v>4.5999999999999999E-2</c:v>
                </c:pt>
              </c:numCache>
            </c:numRef>
          </c:val>
          <c:extLst>
            <c:ext xmlns:c16="http://schemas.microsoft.com/office/drawing/2014/chart" uri="{C3380CC4-5D6E-409C-BE32-E72D297353CC}">
              <c16:uniqueId val="{00000006-F5FF-944E-BE98-6E897EC1C82F}"/>
            </c:ext>
          </c:extLst>
        </c:ser>
        <c:dLbls>
          <c:showLegendKey val="0"/>
          <c:showVal val="0"/>
          <c:showCatName val="0"/>
          <c:showSerName val="0"/>
          <c:showPercent val="0"/>
          <c:showBubbleSize val="0"/>
        </c:dLbls>
        <c:gapWidth val="150"/>
        <c:axId val="544212776"/>
        <c:axId val="544210152"/>
      </c:barChart>
      <c:catAx>
        <c:axId val="544212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210152"/>
        <c:crosses val="autoZero"/>
        <c:auto val="1"/>
        <c:lblAlgn val="ctr"/>
        <c:lblOffset val="100"/>
        <c:noMultiLvlLbl val="0"/>
      </c:catAx>
      <c:valAx>
        <c:axId val="544210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212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Sheet1!$A$3</c:f>
              <c:strCache>
                <c:ptCount val="1"/>
                <c:pt idx="0">
                  <c:v>All in-school girls</c:v>
                </c:pt>
              </c:strCache>
            </c:strRef>
          </c:tx>
          <c:spPr>
            <a:solidFill>
              <a:srgbClr val="FF336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Sheet1!$B$2:$C$2</c:f>
              <c:strCache>
                <c:ptCount val="2"/>
                <c:pt idx="0">
                  <c:v>Literacy</c:v>
                </c:pt>
                <c:pt idx="1">
                  <c:v>Numeracy</c:v>
                </c:pt>
              </c:strCache>
            </c:strRef>
          </c:cat>
          <c:val>
            <c:numRef>
              <c:f>Sheet1!$B$3:$C$3</c:f>
              <c:numCache>
                <c:formatCode>0.00%</c:formatCode>
                <c:ptCount val="2"/>
                <c:pt idx="0">
                  <c:v>0.23699999999999999</c:v>
                </c:pt>
                <c:pt idx="1">
                  <c:v>0.39900000000000002</c:v>
                </c:pt>
              </c:numCache>
            </c:numRef>
          </c:val>
          <c:extLst>
            <c:ext xmlns:c16="http://schemas.microsoft.com/office/drawing/2014/chart" uri="{C3380CC4-5D6E-409C-BE32-E72D297353CC}">
              <c16:uniqueId val="{00000001-1106-44B3-8D7B-0B1054148C3D}"/>
            </c:ext>
          </c:extLst>
        </c:ser>
        <c:ser>
          <c:idx val="1"/>
          <c:order val="1"/>
          <c:tx>
            <c:strRef>
              <c:f>Sheet1!$A$4</c:f>
              <c:strCache>
                <c:ptCount val="1"/>
                <c:pt idx="0">
                  <c:v>Anxiety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Sheet1!$B$2:$C$2</c:f>
              <c:strCache>
                <c:ptCount val="2"/>
                <c:pt idx="0">
                  <c:v>Literacy</c:v>
                </c:pt>
                <c:pt idx="1">
                  <c:v>Numeracy</c:v>
                </c:pt>
              </c:strCache>
            </c:strRef>
          </c:cat>
          <c:val>
            <c:numRef>
              <c:f>Sheet1!$B$4:$C$4</c:f>
              <c:numCache>
                <c:formatCode>0.00%</c:formatCode>
                <c:ptCount val="2"/>
                <c:pt idx="0">
                  <c:v>0.187</c:v>
                </c:pt>
                <c:pt idx="1">
                  <c:v>0.28699999999999998</c:v>
                </c:pt>
              </c:numCache>
            </c:numRef>
          </c:val>
          <c:extLst>
            <c:ext xmlns:c16="http://schemas.microsoft.com/office/drawing/2014/chart" uri="{C3380CC4-5D6E-409C-BE32-E72D297353CC}">
              <c16:uniqueId val="{00000004-1106-44B3-8D7B-0B1054148C3D}"/>
            </c:ext>
          </c:extLst>
        </c:ser>
        <c:ser>
          <c:idx val="2"/>
          <c:order val="2"/>
          <c:tx>
            <c:strRef>
              <c:f>Sheet1!$A$5</c:f>
              <c:strCache>
                <c:ptCount val="1"/>
                <c:pt idx="0">
                  <c:v>Depression</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Sheet1!$B$2:$C$2</c:f>
              <c:strCache>
                <c:ptCount val="2"/>
                <c:pt idx="0">
                  <c:v>Literacy</c:v>
                </c:pt>
                <c:pt idx="1">
                  <c:v>Numeracy</c:v>
                </c:pt>
              </c:strCache>
            </c:strRef>
          </c:cat>
          <c:val>
            <c:numRef>
              <c:f>Sheet1!$B$5:$C$5</c:f>
              <c:numCache>
                <c:formatCode>0.00%</c:formatCode>
                <c:ptCount val="2"/>
                <c:pt idx="0">
                  <c:v>0.21199999999999999</c:v>
                </c:pt>
                <c:pt idx="1">
                  <c:v>0.32200000000000001</c:v>
                </c:pt>
              </c:numCache>
            </c:numRef>
          </c:val>
          <c:extLst>
            <c:ext xmlns:c16="http://schemas.microsoft.com/office/drawing/2014/chart" uri="{C3380CC4-5D6E-409C-BE32-E72D297353CC}">
              <c16:uniqueId val="{00000007-1106-44B3-8D7B-0B1054148C3D}"/>
            </c:ext>
          </c:extLst>
        </c:ser>
        <c:dLbls>
          <c:showLegendKey val="0"/>
          <c:showVal val="0"/>
          <c:showCatName val="0"/>
          <c:showSerName val="0"/>
          <c:showPercent val="0"/>
          <c:showBubbleSize val="0"/>
        </c:dLbls>
        <c:gapWidth val="150"/>
        <c:axId val="326048600"/>
        <c:axId val="324347016"/>
      </c:barChart>
      <c:catAx>
        <c:axId val="326048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347016"/>
        <c:crosses val="autoZero"/>
        <c:auto val="1"/>
        <c:lblAlgn val="ctr"/>
        <c:lblOffset val="100"/>
        <c:noMultiLvlLbl val="0"/>
      </c:catAx>
      <c:valAx>
        <c:axId val="324347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048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Sheet1!$B$20</c:f>
              <c:strCache>
                <c:ptCount val="1"/>
                <c:pt idx="0">
                  <c:v>Positive transitions</c:v>
                </c:pt>
              </c:strCache>
            </c:strRef>
          </c:tx>
          <c:spPr>
            <a:solidFill>
              <a:schemeClr val="accent1"/>
            </a:solidFill>
            <a:ln>
              <a:noFill/>
            </a:ln>
            <a:effectLst/>
          </c:spPr>
          <c:invertIfNegative val="0"/>
          <c:dPt>
            <c:idx val="0"/>
            <c:invertIfNegative val="0"/>
            <c:bubble3D val="0"/>
            <c:spPr>
              <a:solidFill>
                <a:srgbClr val="FF3367"/>
              </a:solidFill>
              <a:ln>
                <a:noFill/>
              </a:ln>
              <a:effectLst/>
            </c:spPr>
            <c:extLst>
              <c:ext xmlns:c16="http://schemas.microsoft.com/office/drawing/2014/chart" uri="{C3380CC4-5D6E-409C-BE32-E72D297353CC}">
                <c16:uniqueId val="{00000001-2DE9-E548-8E5B-285485E5D42A}"/>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2DE9-E548-8E5B-285485E5D42A}"/>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5-2DE9-E548-8E5B-285485E5D42A}"/>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E9-E548-8E5B-285485E5D42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E9-E548-8E5B-285485E5D42A}"/>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E9-E548-8E5B-285485E5D4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Sheet1!$A$21:$A$23</c:f>
              <c:strCache>
                <c:ptCount val="3"/>
                <c:pt idx="0">
                  <c:v>All in-school girls</c:v>
                </c:pt>
                <c:pt idx="1">
                  <c:v>Anxiety</c:v>
                </c:pt>
                <c:pt idx="2">
                  <c:v>Depression</c:v>
                </c:pt>
              </c:strCache>
            </c:strRef>
          </c:cat>
          <c:val>
            <c:numRef>
              <c:f>Sheet1!$B$21:$B$23</c:f>
              <c:numCache>
                <c:formatCode>0%</c:formatCode>
                <c:ptCount val="3"/>
                <c:pt idx="0">
                  <c:v>0.77</c:v>
                </c:pt>
                <c:pt idx="1">
                  <c:v>0.62</c:v>
                </c:pt>
                <c:pt idx="2">
                  <c:v>0.52</c:v>
                </c:pt>
              </c:numCache>
            </c:numRef>
          </c:val>
          <c:extLst>
            <c:ext xmlns:c16="http://schemas.microsoft.com/office/drawing/2014/chart" uri="{C3380CC4-5D6E-409C-BE32-E72D297353CC}">
              <c16:uniqueId val="{00000006-2DE9-E548-8E5B-285485E5D42A}"/>
            </c:ext>
          </c:extLst>
        </c:ser>
        <c:dLbls>
          <c:showLegendKey val="0"/>
          <c:showVal val="0"/>
          <c:showCatName val="0"/>
          <c:showSerName val="0"/>
          <c:showPercent val="0"/>
          <c:showBubbleSize val="0"/>
        </c:dLbls>
        <c:gapWidth val="150"/>
        <c:axId val="593398160"/>
        <c:axId val="593398488"/>
      </c:barChart>
      <c:catAx>
        <c:axId val="593398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398488"/>
        <c:crosses val="autoZero"/>
        <c:auto val="1"/>
        <c:lblAlgn val="ctr"/>
        <c:lblOffset val="100"/>
        <c:noMultiLvlLbl val="0"/>
      </c:catAx>
      <c:valAx>
        <c:axId val="593398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398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3367"/>
              </a:solidFill>
              <a:ln>
                <a:noFill/>
              </a:ln>
              <a:effectLst/>
            </c:spPr>
            <c:extLst>
              <c:ext xmlns:c16="http://schemas.microsoft.com/office/drawing/2014/chart" uri="{C3380CC4-5D6E-409C-BE32-E72D297353CC}">
                <c16:uniqueId val="{00000004-92BB-4027-860D-65F90CF9D5EB}"/>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1-92BB-4027-860D-65F90CF9D5EB}"/>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3-92BB-4027-860D-65F90CF9D5E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Sheet1!$A$33:$A$35</c:f>
              <c:strCache>
                <c:ptCount val="3"/>
                <c:pt idx="0">
                  <c:v>All in-school girls</c:v>
                </c:pt>
                <c:pt idx="1">
                  <c:v>Girls with mental health disability</c:v>
                </c:pt>
                <c:pt idx="2">
                  <c:v>Girls with any disability</c:v>
                </c:pt>
              </c:strCache>
            </c:strRef>
          </c:cat>
          <c:val>
            <c:numRef>
              <c:f>Sheet1!$B$33:$B$35</c:f>
              <c:numCache>
                <c:formatCode>0.00%</c:formatCode>
                <c:ptCount val="3"/>
                <c:pt idx="0">
                  <c:v>8.4000000000000005E-2</c:v>
                </c:pt>
                <c:pt idx="1">
                  <c:v>0.121</c:v>
                </c:pt>
                <c:pt idx="2">
                  <c:v>9.4E-2</c:v>
                </c:pt>
              </c:numCache>
            </c:numRef>
          </c:val>
          <c:extLst>
            <c:ext xmlns:c16="http://schemas.microsoft.com/office/drawing/2014/chart" uri="{C3380CC4-5D6E-409C-BE32-E72D297353CC}">
              <c16:uniqueId val="{00000005-92BB-4027-860D-65F90CF9D5EB}"/>
            </c:ext>
          </c:extLst>
        </c:ser>
        <c:dLbls>
          <c:showLegendKey val="0"/>
          <c:showVal val="0"/>
          <c:showCatName val="0"/>
          <c:showSerName val="0"/>
          <c:showPercent val="0"/>
          <c:showBubbleSize val="0"/>
        </c:dLbls>
        <c:gapWidth val="150"/>
        <c:axId val="708629736"/>
        <c:axId val="708628752"/>
      </c:barChart>
      <c:catAx>
        <c:axId val="708629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628752"/>
        <c:crosses val="autoZero"/>
        <c:auto val="1"/>
        <c:lblAlgn val="ctr"/>
        <c:lblOffset val="100"/>
        <c:noMultiLvlLbl val="0"/>
      </c:catAx>
      <c:valAx>
        <c:axId val="708628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629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4C0C650266694BAA5658CF32C2685A" ma:contentTypeVersion="8" ma:contentTypeDescription="Create a new document." ma:contentTypeScope="" ma:versionID="09a257901213ee8cc75c136b26d442e7">
  <xsd:schema xmlns:xsd="http://www.w3.org/2001/XMLSchema" xmlns:xs="http://www.w3.org/2001/XMLSchema" xmlns:p="http://schemas.microsoft.com/office/2006/metadata/properties" xmlns:ns3="1bc077fe-0c70-466d-a6af-4b395afeb4d5" targetNamespace="http://schemas.microsoft.com/office/2006/metadata/properties" ma:root="true" ma:fieldsID="2d80920d83f07d8a5d3e6d04c36dd7d4" ns3:_="">
    <xsd:import namespace="1bc077fe-0c70-466d-a6af-4b395afeb4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077fe-0c70-466d-a6af-4b395afeb4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6CD8B-9957-448D-BBBD-D6B9E8566140}">
  <ds:schemaRefs>
    <ds:schemaRef ds:uri="http://schemas.microsoft.com/sharepoint/v3/contenttype/forms"/>
  </ds:schemaRefs>
</ds:datastoreItem>
</file>

<file path=customXml/itemProps2.xml><?xml version="1.0" encoding="utf-8"?>
<ds:datastoreItem xmlns:ds="http://schemas.openxmlformats.org/officeDocument/2006/customXml" ds:itemID="{931263D4-26A9-415E-BA8C-E6CA78A8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077fe-0c70-466d-a6af-4b395afeb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D1C4E-E4E8-4BA2-9FB8-CB81A2859D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44929D-7064-4E49-B674-DAD1B87F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Todd</dc:creator>
  <cp:keywords/>
  <dc:description/>
  <cp:lastModifiedBy>Lotte Renault</cp:lastModifiedBy>
  <cp:revision>2</cp:revision>
  <dcterms:created xsi:type="dcterms:W3CDTF">2020-05-22T20:18:00Z</dcterms:created>
  <dcterms:modified xsi:type="dcterms:W3CDTF">2020-05-22T20:18:00Z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0x010100374C0C650266694BAA5658CF32C2685A</vt:lpwstr>
  </property>
</Properties>
</file>