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6AE" w:rsidRPr="002A2227" w:rsidRDefault="002A2227" w:rsidP="002A2227">
      <w:pPr>
        <w:autoSpaceDE w:val="0"/>
        <w:autoSpaceDN w:val="0"/>
        <w:adjustRightInd w:val="0"/>
        <w:spacing w:after="240"/>
        <w:jc w:val="center"/>
        <w:rPr>
          <w:b/>
          <w:smallCaps/>
        </w:rPr>
      </w:pPr>
      <w:bookmarkStart w:id="0" w:name="_GoBack"/>
      <w:bookmarkEnd w:id="0"/>
      <w:r w:rsidRPr="002A2227">
        <w:rPr>
          <w:b/>
          <w:smallCaps/>
        </w:rPr>
        <w:t>Seeking</w:t>
      </w:r>
      <w:r w:rsidR="00151EA4" w:rsidRPr="002A2227">
        <w:rPr>
          <w:b/>
          <w:smallCaps/>
        </w:rPr>
        <w:t xml:space="preserve"> Greater Flexibility </w:t>
      </w:r>
      <w:r w:rsidRPr="002A2227">
        <w:rPr>
          <w:b/>
          <w:smallCaps/>
        </w:rPr>
        <w:t xml:space="preserve">in the Fight against </w:t>
      </w:r>
      <w:r w:rsidR="000F36AE" w:rsidRPr="002A2227">
        <w:rPr>
          <w:b/>
          <w:smallCaps/>
        </w:rPr>
        <w:t>Global Hunger</w:t>
      </w:r>
    </w:p>
    <w:p w:rsidR="000F36AE" w:rsidRPr="002A2227" w:rsidRDefault="000F36AE" w:rsidP="002A2227">
      <w:pPr>
        <w:autoSpaceDE w:val="0"/>
        <w:autoSpaceDN w:val="0"/>
        <w:adjustRightInd w:val="0"/>
        <w:spacing w:after="240"/>
        <w:jc w:val="center"/>
        <w:rPr>
          <w:smallCaps/>
        </w:rPr>
      </w:pPr>
      <w:r w:rsidRPr="002A2227">
        <w:rPr>
          <w:smallCaps/>
        </w:rPr>
        <w:t xml:space="preserve">A Message from </w:t>
      </w:r>
      <w:r w:rsidR="00A83E32" w:rsidRPr="00A83E32">
        <w:rPr>
          <w:smallCaps/>
        </w:rPr>
        <w:t>Seven</w:t>
      </w:r>
      <w:r w:rsidRPr="002A2227">
        <w:rPr>
          <w:smallCaps/>
        </w:rPr>
        <w:t xml:space="preserve"> Leading Development Agencies working on </w:t>
      </w:r>
      <w:r w:rsidR="002A2227" w:rsidRPr="002A2227">
        <w:rPr>
          <w:smallCaps/>
        </w:rPr>
        <w:br/>
        <w:t>Local and Regional Procurement Programs</w:t>
      </w:r>
    </w:p>
    <w:p w:rsidR="00412102" w:rsidRDefault="00A74887">
      <w:pPr>
        <w:autoSpaceDE w:val="0"/>
        <w:autoSpaceDN w:val="0"/>
        <w:adjustRightInd w:val="0"/>
        <w:spacing w:after="240"/>
        <w:jc w:val="center"/>
        <w:rPr>
          <w:smallCaps/>
        </w:rPr>
      </w:pPr>
      <w:r w:rsidRPr="002A2227">
        <w:rPr>
          <w:smallCaps/>
        </w:rPr>
        <w:t>for submission to the Senate Agricultural Committee, Farm Bill 2012</w:t>
      </w:r>
    </w:p>
    <w:p w:rsidR="00E657E0" w:rsidRDefault="00E657E0" w:rsidP="00E657E0">
      <w:pPr>
        <w:autoSpaceDE w:val="0"/>
        <w:autoSpaceDN w:val="0"/>
        <w:adjustRightInd w:val="0"/>
        <w:spacing w:after="120"/>
      </w:pPr>
      <w:r>
        <w:t xml:space="preserve">As implementers of international food assistance programs, we have seen firsthand that the Local and Regional Procurement (LRP) of food </w:t>
      </w:r>
      <w:r w:rsidR="00EB1B14">
        <w:t>can</w:t>
      </w:r>
      <w:r>
        <w:t xml:space="preserve"> be a useful development tool</w:t>
      </w:r>
      <w:r w:rsidR="001427D1">
        <w:t xml:space="preserve">. </w:t>
      </w:r>
      <w:r w:rsidR="00EB1B14">
        <w:t>While</w:t>
      </w:r>
      <w:r>
        <w:t xml:space="preserve"> you undertake the reauthorization </w:t>
      </w:r>
      <w:r w:rsidR="00EB1B14">
        <w:t xml:space="preserve">process </w:t>
      </w:r>
      <w:r>
        <w:t>for the Farm Bill, we ask you to consider making LRP a permanent component of U.S. food assistance programs.</w:t>
      </w:r>
    </w:p>
    <w:p w:rsidR="008421CE" w:rsidRPr="002A2227" w:rsidRDefault="00D679B3" w:rsidP="00151EA4">
      <w:pPr>
        <w:autoSpaceDE w:val="0"/>
        <w:autoSpaceDN w:val="0"/>
        <w:adjustRightInd w:val="0"/>
        <w:spacing w:after="120"/>
      </w:pPr>
      <w:r w:rsidRPr="002A2227">
        <w:t xml:space="preserve">In an effort to </w:t>
      </w:r>
      <w:r w:rsidR="008421CE" w:rsidRPr="002A2227">
        <w:t xml:space="preserve">provide emergency </w:t>
      </w:r>
      <w:r w:rsidR="002A2227" w:rsidRPr="002A2227">
        <w:t xml:space="preserve">food </w:t>
      </w:r>
      <w:r w:rsidR="008421CE" w:rsidRPr="002A2227">
        <w:t xml:space="preserve">assistance and </w:t>
      </w:r>
      <w:r w:rsidR="00027D7A">
        <w:t xml:space="preserve">to </w:t>
      </w:r>
      <w:r w:rsidRPr="002A2227">
        <w:t xml:space="preserve">end </w:t>
      </w:r>
      <w:r w:rsidR="008421CE" w:rsidRPr="002A2227">
        <w:t xml:space="preserve">chronic </w:t>
      </w:r>
      <w:r w:rsidRPr="002A2227">
        <w:t>hunger, the humanitarian relief and development community is co</w:t>
      </w:r>
      <w:r w:rsidR="002C21FF">
        <w:t xml:space="preserve">ntinually </w:t>
      </w:r>
      <w:r w:rsidRPr="002A2227">
        <w:t xml:space="preserve">looking </w:t>
      </w:r>
      <w:r w:rsidR="002C21FF">
        <w:t xml:space="preserve">for ways </w:t>
      </w:r>
      <w:r w:rsidRPr="002A2227">
        <w:t>to improve the efficiency and effectiveness of its services.</w:t>
      </w:r>
      <w:r w:rsidR="00A14BAC" w:rsidRPr="002A2227">
        <w:t xml:space="preserve"> </w:t>
      </w:r>
      <w:r w:rsidRPr="002A2227">
        <w:t xml:space="preserve">In that spirit, </w:t>
      </w:r>
      <w:r w:rsidR="008421CE" w:rsidRPr="002A2227">
        <w:t>the 2008 Farm Bill created t</w:t>
      </w:r>
      <w:r w:rsidR="006C5148" w:rsidRPr="002A2227">
        <w:t xml:space="preserve">he </w:t>
      </w:r>
      <w:r w:rsidR="000F36AE" w:rsidRPr="002A2227">
        <w:t xml:space="preserve">LRP </w:t>
      </w:r>
      <w:r w:rsidR="006C5148" w:rsidRPr="002A2227">
        <w:t>P</w:t>
      </w:r>
      <w:r w:rsidRPr="002A2227">
        <w:t xml:space="preserve">ilot </w:t>
      </w:r>
      <w:r w:rsidR="006C5148" w:rsidRPr="002A2227">
        <w:t>Program</w:t>
      </w:r>
      <w:r w:rsidR="0062638C">
        <w:t xml:space="preserve">, </w:t>
      </w:r>
      <w:r w:rsidR="002C21FF">
        <w:t xml:space="preserve">implemented </w:t>
      </w:r>
      <w:r w:rsidR="0062638C">
        <w:t xml:space="preserve">through </w:t>
      </w:r>
      <w:r w:rsidR="008D337A">
        <w:t>the U.S. Department of Agriculture</w:t>
      </w:r>
      <w:r w:rsidR="0062638C">
        <w:t>. T</w:t>
      </w:r>
      <w:r w:rsidR="002A2227" w:rsidRPr="002A2227">
        <w:t>he program was mandated</w:t>
      </w:r>
      <w:r w:rsidR="008421CE" w:rsidRPr="002A2227">
        <w:t xml:space="preserve"> </w:t>
      </w:r>
      <w:r w:rsidR="0062638C">
        <w:t xml:space="preserve">by Congress </w:t>
      </w:r>
      <w:r w:rsidR="008421CE" w:rsidRPr="002A2227">
        <w:t>to assess whether LRP was a</w:t>
      </w:r>
      <w:r w:rsidR="002A2227" w:rsidRPr="002A2227">
        <w:t xml:space="preserve">n effective </w:t>
      </w:r>
      <w:r w:rsidR="008421CE" w:rsidRPr="002A2227">
        <w:t>food assistance mechanism that maintained core humanitarian principles.</w:t>
      </w:r>
    </w:p>
    <w:p w:rsidR="00AA1839" w:rsidRPr="002A2227" w:rsidRDefault="008421CE" w:rsidP="008421CE">
      <w:pPr>
        <w:autoSpaceDE w:val="0"/>
        <w:autoSpaceDN w:val="0"/>
        <w:adjustRightInd w:val="0"/>
        <w:spacing w:after="120"/>
      </w:pPr>
      <w:r w:rsidRPr="002A2227">
        <w:t xml:space="preserve">A group of implementing </w:t>
      </w:r>
      <w:r w:rsidR="008D337A">
        <w:t>organizations,</w:t>
      </w:r>
      <w:r w:rsidR="00E946E5">
        <w:t xml:space="preserve"> included in the undersigned,</w:t>
      </w:r>
      <w:r w:rsidR="006C5148" w:rsidRPr="002A2227">
        <w:t xml:space="preserve"> worked in partnership with </w:t>
      </w:r>
      <w:r w:rsidR="00D679B3" w:rsidRPr="002A2227">
        <w:t xml:space="preserve">Dr. Christopher B. Barrett </w:t>
      </w:r>
      <w:r w:rsidR="00A14BAC" w:rsidRPr="002A2227">
        <w:t xml:space="preserve">and his team from </w:t>
      </w:r>
      <w:r w:rsidR="00E72975" w:rsidRPr="002A2227">
        <w:t>Cornell University</w:t>
      </w:r>
      <w:r w:rsidR="00B0275E" w:rsidRPr="002A2227">
        <w:t>’s</w:t>
      </w:r>
      <w:r w:rsidR="00D679B3" w:rsidRPr="002A2227">
        <w:t xml:space="preserve"> School of Applied Economics and Management</w:t>
      </w:r>
      <w:r w:rsidR="002A2227" w:rsidRPr="002A2227">
        <w:t xml:space="preserve"> to evaluate the impacts of their LRP programs</w:t>
      </w:r>
      <w:r w:rsidR="006C5148" w:rsidRPr="002A2227">
        <w:t>.</w:t>
      </w:r>
      <w:r w:rsidR="00AA1839" w:rsidRPr="002A2227">
        <w:t xml:space="preserve"> </w:t>
      </w:r>
      <w:r w:rsidR="002A2227" w:rsidRPr="002A2227">
        <w:t xml:space="preserve">The </w:t>
      </w:r>
      <w:r w:rsidR="00AA1839" w:rsidRPr="002A2227">
        <w:t>Cornell study found that:</w:t>
      </w:r>
    </w:p>
    <w:p w:rsidR="00AA1839" w:rsidRPr="002A2227" w:rsidRDefault="00AA1839" w:rsidP="00AA1839">
      <w:pPr>
        <w:pStyle w:val="ListParagraph"/>
        <w:numPr>
          <w:ilvl w:val="0"/>
          <w:numId w:val="5"/>
        </w:numPr>
        <w:spacing w:after="120"/>
        <w:ind w:left="720"/>
        <w:contextualSpacing w:val="0"/>
      </w:pPr>
      <w:r w:rsidRPr="002A2227">
        <w:t>On average, procuring food locally or distributing vouchers</w:t>
      </w:r>
      <w:r w:rsidR="00AF69C1">
        <w:t xml:space="preserve"> or cash</w:t>
      </w:r>
      <w:r w:rsidRPr="002A2227">
        <w:t xml:space="preserve"> for the </w:t>
      </w:r>
      <w:r w:rsidR="00E657E0">
        <w:t xml:space="preserve">local </w:t>
      </w:r>
      <w:r w:rsidRPr="002A2227">
        <w:t>purchase of food resulted in a time savings of nearly fourteen weeks compared with shipping food from the U</w:t>
      </w:r>
      <w:r w:rsidR="008D337A">
        <w:t>.</w:t>
      </w:r>
      <w:r w:rsidRPr="002A2227">
        <w:t>S</w:t>
      </w:r>
      <w:r w:rsidR="008D337A">
        <w:t>.</w:t>
      </w:r>
      <w:r w:rsidRPr="002A2227">
        <w:t>, a 62 percent gain in timeliness.</w:t>
      </w:r>
    </w:p>
    <w:p w:rsidR="00D5688F" w:rsidRPr="002A2227" w:rsidRDefault="00AA1839" w:rsidP="00151EA4">
      <w:pPr>
        <w:pStyle w:val="ListParagraph"/>
        <w:numPr>
          <w:ilvl w:val="0"/>
          <w:numId w:val="5"/>
        </w:numPr>
        <w:spacing w:after="120"/>
        <w:ind w:left="720"/>
        <w:contextualSpacing w:val="0"/>
      </w:pPr>
      <w:r w:rsidRPr="002A2227">
        <w:t>Cost savings were realized for local procurement of unprocessed grains and some pulses</w:t>
      </w:r>
      <w:r w:rsidR="001B5C21">
        <w:t xml:space="preserve">—around </w:t>
      </w:r>
      <w:r w:rsidRPr="002A2227">
        <w:t xml:space="preserve">50 percent. However, procuring processed foods and vegetable oils did not achieve </w:t>
      </w:r>
      <w:r w:rsidR="002A2227" w:rsidRPr="002A2227">
        <w:t xml:space="preserve">these same </w:t>
      </w:r>
      <w:r w:rsidRPr="002A2227">
        <w:t>savings. Cost savings also varied by geographic region, with the greatest savings for procurements in Africa and Asia.</w:t>
      </w:r>
    </w:p>
    <w:p w:rsidR="002A2227" w:rsidRPr="002A2227" w:rsidRDefault="002A2227" w:rsidP="00AA1839">
      <w:pPr>
        <w:pStyle w:val="ListParagraph"/>
        <w:numPr>
          <w:ilvl w:val="0"/>
          <w:numId w:val="5"/>
        </w:numPr>
        <w:spacing w:after="120"/>
        <w:ind w:left="720"/>
        <w:contextualSpacing w:val="0"/>
      </w:pPr>
      <w:r w:rsidRPr="002A2227">
        <w:t>In most cases studied, LRP procurement and distribution activities did not impact local market price levels.</w:t>
      </w:r>
    </w:p>
    <w:p w:rsidR="00217AC9" w:rsidRDefault="00AA1839">
      <w:pPr>
        <w:autoSpaceDE w:val="0"/>
        <w:autoSpaceDN w:val="0"/>
        <w:adjustRightInd w:val="0"/>
        <w:spacing w:after="120"/>
        <w:rPr>
          <w:color w:val="000000"/>
        </w:rPr>
      </w:pPr>
      <w:r w:rsidRPr="002A2227">
        <w:t>In addition, LRP has shown the potential to promote</w:t>
      </w:r>
      <w:r w:rsidR="00A424E6">
        <w:t xml:space="preserve"> </w:t>
      </w:r>
      <w:r w:rsidR="00894091">
        <w:t xml:space="preserve">sustainable </w:t>
      </w:r>
      <w:r w:rsidR="00A424E6">
        <w:t>impact</w:t>
      </w:r>
      <w:r w:rsidR="00894091">
        <w:t>s</w:t>
      </w:r>
      <w:r w:rsidRPr="002A2227">
        <w:t xml:space="preserve"> through </w:t>
      </w:r>
      <w:r w:rsidR="006557DA" w:rsidRPr="002A2227">
        <w:t>harnessing the outputs of local farmers, collaborating</w:t>
      </w:r>
      <w:r w:rsidRPr="002A2227">
        <w:t xml:space="preserve"> with </w:t>
      </w:r>
      <w:r w:rsidR="006557DA" w:rsidRPr="002A2227">
        <w:t xml:space="preserve">other private sector actors, and linking with existing </w:t>
      </w:r>
      <w:r w:rsidRPr="002A2227">
        <w:t xml:space="preserve">development initiatives. For example, Land O’Lakes worked with local processing companies </w:t>
      </w:r>
      <w:r w:rsidR="006557DA" w:rsidRPr="002A2227">
        <w:t xml:space="preserve">in Bangladesh </w:t>
      </w:r>
      <w:r w:rsidR="00C736C2">
        <w:t>that procured</w:t>
      </w:r>
      <w:r w:rsidRPr="002A2227">
        <w:rPr>
          <w:color w:val="000000"/>
        </w:rPr>
        <w:t xml:space="preserve"> </w:t>
      </w:r>
      <w:r w:rsidR="006557DA" w:rsidRPr="002A2227">
        <w:rPr>
          <w:color w:val="000000"/>
        </w:rPr>
        <w:t xml:space="preserve">locally produced, </w:t>
      </w:r>
      <w:r w:rsidRPr="002A2227">
        <w:rPr>
          <w:color w:val="000000"/>
        </w:rPr>
        <w:t>nutritious ingredients</w:t>
      </w:r>
      <w:r w:rsidR="006557DA" w:rsidRPr="002A2227">
        <w:rPr>
          <w:color w:val="000000"/>
        </w:rPr>
        <w:t>. These commodities were used</w:t>
      </w:r>
      <w:r w:rsidRPr="002A2227">
        <w:rPr>
          <w:color w:val="000000"/>
        </w:rPr>
        <w:t xml:space="preserve"> to produce 15 million fortified cereal bars</w:t>
      </w:r>
      <w:r w:rsidR="006557DA" w:rsidRPr="002A2227">
        <w:rPr>
          <w:color w:val="000000"/>
        </w:rPr>
        <w:t xml:space="preserve">, which </w:t>
      </w:r>
      <w:r w:rsidRPr="002A2227">
        <w:rPr>
          <w:color w:val="000000"/>
        </w:rPr>
        <w:t xml:space="preserve">provided a daily snack to around 100,000 students and teachers in 441 primary schools. The program not only played a catalytic role in increasing school attendance and enrollment by over 25 percent, but also spurred Bangladeshi processors to commercialize the product. Since then, </w:t>
      </w:r>
      <w:r w:rsidR="006557DA" w:rsidRPr="002A2227">
        <w:rPr>
          <w:color w:val="000000"/>
        </w:rPr>
        <w:t>the processors</w:t>
      </w:r>
      <w:r w:rsidRPr="002A2227">
        <w:rPr>
          <w:color w:val="000000"/>
        </w:rPr>
        <w:t xml:space="preserve"> have produced over </w:t>
      </w:r>
      <w:r w:rsidR="008D337A">
        <w:rPr>
          <w:color w:val="000000"/>
        </w:rPr>
        <w:t>one</w:t>
      </w:r>
      <w:r w:rsidR="008D337A" w:rsidRPr="002A2227">
        <w:rPr>
          <w:color w:val="000000"/>
        </w:rPr>
        <w:t xml:space="preserve"> </w:t>
      </w:r>
      <w:r w:rsidRPr="002A2227">
        <w:rPr>
          <w:color w:val="000000"/>
        </w:rPr>
        <w:t>million high energy cereal bars, which are being sold through local retail market</w:t>
      </w:r>
      <w:r w:rsidR="006557DA" w:rsidRPr="002A2227">
        <w:rPr>
          <w:color w:val="000000"/>
        </w:rPr>
        <w:t>s</w:t>
      </w:r>
      <w:r w:rsidR="00586903">
        <w:rPr>
          <w:color w:val="000000"/>
        </w:rPr>
        <w:t>.</w:t>
      </w:r>
    </w:p>
    <w:p w:rsidR="002079BB" w:rsidRDefault="002A2227" w:rsidP="00F61FD6">
      <w:pPr>
        <w:autoSpaceDE w:val="0"/>
        <w:autoSpaceDN w:val="0"/>
        <w:adjustRightInd w:val="0"/>
        <w:spacing w:after="120"/>
      </w:pPr>
      <w:r w:rsidRPr="002A2227">
        <w:t>As detailed above, t</w:t>
      </w:r>
      <w:r w:rsidR="002F25DC" w:rsidRPr="002A2227">
        <w:t xml:space="preserve">he pilot study showed LRP programs could achieve significant cost savings and timeliness gains, although program implementer experience </w:t>
      </w:r>
      <w:r w:rsidR="00C439AC">
        <w:t xml:space="preserve">suggests these savings can vary, </w:t>
      </w:r>
      <w:r w:rsidR="002F25DC" w:rsidRPr="002A2227">
        <w:lastRenderedPageBreak/>
        <w:t>depending on context. As Cornell highlighted, “LRP</w:t>
      </w:r>
      <w:r w:rsidR="00A85710">
        <w:t xml:space="preserve"> </w:t>
      </w:r>
      <w:r w:rsidR="002F25DC" w:rsidRPr="002A2227">
        <w:t>runs a real… risk of unreasonable expectations that it can meet multiple, sometimes competing, objectives.”</w:t>
      </w:r>
      <w:r w:rsidR="007C4360">
        <w:rPr>
          <w:rStyle w:val="FootnoteReference"/>
        </w:rPr>
        <w:footnoteReference w:id="1"/>
      </w:r>
      <w:r w:rsidR="002F25DC" w:rsidRPr="002A2227">
        <w:t xml:space="preserve"> </w:t>
      </w:r>
    </w:p>
    <w:p w:rsidR="0048302B" w:rsidRDefault="002079BB" w:rsidP="00F61FD6">
      <w:pPr>
        <w:autoSpaceDE w:val="0"/>
        <w:autoSpaceDN w:val="0"/>
        <w:adjustRightInd w:val="0"/>
        <w:spacing w:after="120"/>
      </w:pPr>
      <w:r>
        <w:t>T</w:t>
      </w:r>
      <w:r w:rsidR="00814247">
        <w:t xml:space="preserve">he </w:t>
      </w:r>
      <w:r w:rsidR="00A85710">
        <w:t xml:space="preserve">context </w:t>
      </w:r>
      <w:r w:rsidR="0048302B">
        <w:t xml:space="preserve">of </w:t>
      </w:r>
      <w:r>
        <w:t>any</w:t>
      </w:r>
      <w:r w:rsidR="0048302B">
        <w:t xml:space="preserve"> food crisis </w:t>
      </w:r>
      <w:r>
        <w:t>should frame the decision on which balance of food assistance mechanisms are used in</w:t>
      </w:r>
      <w:r w:rsidR="00A85710">
        <w:t xml:space="preserve"> </w:t>
      </w:r>
      <w:r>
        <w:t>the resulting</w:t>
      </w:r>
      <w:r w:rsidR="004454DB">
        <w:t xml:space="preserve"> </w:t>
      </w:r>
      <w:r w:rsidR="00A85710">
        <w:t>food assistance program</w:t>
      </w:r>
      <w:r w:rsidR="00F61FD6">
        <w:t xml:space="preserve">.  </w:t>
      </w:r>
      <w:r>
        <w:t>In cases</w:t>
      </w:r>
      <w:r w:rsidR="00F61FD6">
        <w:t xml:space="preserve"> where markets are working but people need short term assistance, food vouchers and cash can meet short term needs.   Where local and regional markets are capable of supplying adequate food volume over time without adverse food price impacts, LRP is also highly useful tool.  But w</w:t>
      </w:r>
      <w:r w:rsidR="003A7493">
        <w:t>he</w:t>
      </w:r>
      <w:r w:rsidR="00F61FD6">
        <w:t>n</w:t>
      </w:r>
      <w:r w:rsidR="003A7493">
        <w:t xml:space="preserve"> </w:t>
      </w:r>
      <w:r w:rsidR="00F61FD6">
        <w:t xml:space="preserve">the </w:t>
      </w:r>
      <w:r w:rsidR="00586903">
        <w:t>volume of</w:t>
      </w:r>
      <w:r w:rsidR="003A7493">
        <w:t xml:space="preserve"> food </w:t>
      </w:r>
      <w:r w:rsidR="00F61FD6">
        <w:t>needs</w:t>
      </w:r>
      <w:r w:rsidR="003A7493">
        <w:t xml:space="preserve"> </w:t>
      </w:r>
      <w:r w:rsidR="00F61FD6">
        <w:t xml:space="preserve">outstrips the capacity of local and regional market systems, </w:t>
      </w:r>
      <w:r w:rsidR="0048302B">
        <w:t xml:space="preserve">traditional food assistance through </w:t>
      </w:r>
      <w:r w:rsidR="003A7493">
        <w:t>bulk shipment</w:t>
      </w:r>
      <w:r w:rsidR="0048302B">
        <w:t>s</w:t>
      </w:r>
      <w:r w:rsidR="003A7493">
        <w:t xml:space="preserve"> of </w:t>
      </w:r>
      <w:r w:rsidR="00F61FD6">
        <w:t xml:space="preserve">in-kind </w:t>
      </w:r>
      <w:r w:rsidR="003A7493">
        <w:t>food</w:t>
      </w:r>
      <w:r>
        <w:t xml:space="preserve"> is critical to </w:t>
      </w:r>
      <w:r w:rsidR="0048302B">
        <w:t xml:space="preserve">provide </w:t>
      </w:r>
      <w:r w:rsidR="003A7493">
        <w:t xml:space="preserve">the essential heavy lifting to support millions in need. </w:t>
      </w:r>
    </w:p>
    <w:p w:rsidR="008D337A" w:rsidRDefault="008421CE" w:rsidP="008421CE">
      <w:pPr>
        <w:autoSpaceDE w:val="0"/>
        <w:autoSpaceDN w:val="0"/>
        <w:adjustRightInd w:val="0"/>
        <w:spacing w:after="120"/>
      </w:pPr>
      <w:r w:rsidRPr="002A2227">
        <w:t xml:space="preserve">The local </w:t>
      </w:r>
      <w:r w:rsidR="00CC5FDA">
        <w:t xml:space="preserve">and regional </w:t>
      </w:r>
      <w:r w:rsidRPr="002A2227">
        <w:t xml:space="preserve">procurement of food provides humanitarian and development organizations with greater flexibility </w:t>
      </w:r>
      <w:r w:rsidR="00F61FD6">
        <w:t>to tailor</w:t>
      </w:r>
      <w:r w:rsidRPr="002A2227">
        <w:t xml:space="preserve"> food assistance programming</w:t>
      </w:r>
      <w:r w:rsidR="00F61FD6">
        <w:t xml:space="preserve"> to diverse contexts</w:t>
      </w:r>
      <w:r w:rsidRPr="002A2227">
        <w:t xml:space="preserve">. </w:t>
      </w:r>
      <w:r w:rsidR="00A83E32" w:rsidRPr="00A83E32">
        <w:t>LRP should be considered a vital tool along with other essential food aid mechanisms, including emergency and development Title II, Food for Progress and McGovern Dole programs.</w:t>
      </w:r>
      <w:r w:rsidR="00412102">
        <w:t xml:space="preserve">  But LRP should be seen as a complement to, rather than a replacement of, these other mechanisms, and </w:t>
      </w:r>
      <w:r w:rsidR="00A83E32" w:rsidRPr="00A83E32">
        <w:t>should not change the balance of developmental and emergency resources within the Farm Bill</w:t>
      </w:r>
      <w:r w:rsidR="004837A2" w:rsidRPr="004837A2">
        <w:rPr>
          <w:color w:val="FF0000"/>
        </w:rPr>
        <w:t xml:space="preserve">. </w:t>
      </w:r>
    </w:p>
    <w:p w:rsidR="008421CE" w:rsidRPr="002A2227" w:rsidRDefault="008D337A" w:rsidP="008421CE">
      <w:pPr>
        <w:autoSpaceDE w:val="0"/>
        <w:autoSpaceDN w:val="0"/>
        <w:adjustRightInd w:val="0"/>
        <w:spacing w:after="120"/>
        <w:rPr>
          <w:b/>
        </w:rPr>
      </w:pPr>
      <w:r>
        <w:t xml:space="preserve">We </w:t>
      </w:r>
      <w:r w:rsidR="008421CE" w:rsidRPr="002A2227">
        <w:t xml:space="preserve">the undersigned support </w:t>
      </w:r>
      <w:r w:rsidR="002079BB" w:rsidRPr="002A2227">
        <w:t xml:space="preserve">increased flexibility </w:t>
      </w:r>
      <w:r w:rsidR="002079BB">
        <w:t>in using</w:t>
      </w:r>
      <w:r w:rsidR="008421CE" w:rsidRPr="002A2227">
        <w:t xml:space="preserve"> LRP </w:t>
      </w:r>
      <w:r>
        <w:rPr>
          <w:b/>
        </w:rPr>
        <w:t xml:space="preserve">to effectively </w:t>
      </w:r>
      <w:r w:rsidR="008421CE" w:rsidRPr="002A2227">
        <w:rPr>
          <w:b/>
        </w:rPr>
        <w:t>fight global hunger</w:t>
      </w:r>
      <w:r w:rsidR="008421CE" w:rsidRPr="002A2227">
        <w:t xml:space="preserve">. </w:t>
      </w:r>
      <w:r w:rsidR="00F14EB3">
        <w:t>With this flexibility</w:t>
      </w:r>
      <w:r w:rsidR="002A2227" w:rsidRPr="002A2227">
        <w:t xml:space="preserve"> the U</w:t>
      </w:r>
      <w:r>
        <w:t>.</w:t>
      </w:r>
      <w:r w:rsidR="002A2227" w:rsidRPr="002A2227">
        <w:t>S</w:t>
      </w:r>
      <w:r>
        <w:t>.</w:t>
      </w:r>
      <w:r w:rsidR="002A2227" w:rsidRPr="002A2227">
        <w:t xml:space="preserve"> Government</w:t>
      </w:r>
      <w:r w:rsidR="00F14EB3">
        <w:t xml:space="preserve"> and its </w:t>
      </w:r>
      <w:r>
        <w:t xml:space="preserve">implementing </w:t>
      </w:r>
      <w:r w:rsidR="00F14EB3">
        <w:t>partners</w:t>
      </w:r>
      <w:r w:rsidR="002A2227" w:rsidRPr="002A2227">
        <w:t xml:space="preserve"> will</w:t>
      </w:r>
      <w:r w:rsidR="005C0AAA">
        <w:t xml:space="preserve"> </w:t>
      </w:r>
      <w:r w:rsidR="00F14EB3">
        <w:t xml:space="preserve">be able to </w:t>
      </w:r>
      <w:r w:rsidR="00F61FD6">
        <w:t xml:space="preserve">best </w:t>
      </w:r>
      <w:r w:rsidR="002A2227" w:rsidRPr="002A2227">
        <w:t xml:space="preserve">meet </w:t>
      </w:r>
      <w:r w:rsidR="005C0AAA">
        <w:t xml:space="preserve">the needs of those facing emergencies and chronic </w:t>
      </w:r>
      <w:r w:rsidR="002A2227" w:rsidRPr="002A2227">
        <w:t>hunger</w:t>
      </w:r>
      <w:r w:rsidR="005C0AAA">
        <w:t>,</w:t>
      </w:r>
      <w:r w:rsidR="002A2227" w:rsidRPr="002A2227">
        <w:t xml:space="preserve"> while </w:t>
      </w:r>
      <w:r w:rsidR="005C0AAA">
        <w:t xml:space="preserve">also </w:t>
      </w:r>
      <w:r w:rsidR="002A2227" w:rsidRPr="002A2227">
        <w:t>maintaining accountability to U</w:t>
      </w:r>
      <w:r>
        <w:t>.</w:t>
      </w:r>
      <w:r w:rsidR="002A2227" w:rsidRPr="002A2227">
        <w:t>S</w:t>
      </w:r>
      <w:r>
        <w:t>.</w:t>
      </w:r>
      <w:r w:rsidR="002A2227" w:rsidRPr="002A2227">
        <w:t xml:space="preserve"> taxpayers.</w:t>
      </w:r>
    </w:p>
    <w:p w:rsidR="00595ABF" w:rsidRDefault="00595ABF" w:rsidP="002A2227">
      <w:pPr>
        <w:autoSpaceDE w:val="0"/>
        <w:autoSpaceDN w:val="0"/>
        <w:adjustRightInd w:val="0"/>
        <w:spacing w:after="120"/>
      </w:pPr>
    </w:p>
    <w:p w:rsidR="00595ABF" w:rsidRDefault="00595ABF" w:rsidP="002A2227">
      <w:pPr>
        <w:autoSpaceDE w:val="0"/>
        <w:autoSpaceDN w:val="0"/>
        <w:adjustRightInd w:val="0"/>
        <w:spacing w:after="120"/>
      </w:pPr>
      <w:r>
        <w:t>Signed,</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757"/>
        <w:gridCol w:w="2688"/>
      </w:tblGrid>
      <w:tr w:rsidR="00595ABF" w:rsidTr="00595ABF">
        <w:trPr>
          <w:trHeight w:val="1322"/>
        </w:trPr>
        <w:tc>
          <w:tcPr>
            <w:tcW w:w="3295" w:type="dxa"/>
          </w:tcPr>
          <w:p w:rsidR="004837A2" w:rsidRDefault="004E6CDB" w:rsidP="004837A2">
            <w:pPr>
              <w:autoSpaceDE w:val="0"/>
              <w:autoSpaceDN w:val="0"/>
              <w:adjustRightInd w:val="0"/>
              <w:spacing w:after="120"/>
              <w:jc w:val="center"/>
            </w:pPr>
            <w:r>
              <w:rPr>
                <w:noProof/>
              </w:rPr>
              <w:drawing>
                <wp:inline distT="0" distB="0" distL="0" distR="0">
                  <wp:extent cx="567948" cy="612648"/>
                  <wp:effectExtent l="19050" t="0" r="3552" b="0"/>
                  <wp:docPr id="30" name="Picture 10" descr="care.jpg"/>
                  <wp:cNvGraphicFramePr/>
                  <a:graphic xmlns:a="http://schemas.openxmlformats.org/drawingml/2006/main">
                    <a:graphicData uri="http://schemas.openxmlformats.org/drawingml/2006/picture">
                      <pic:pic xmlns:pic="http://schemas.openxmlformats.org/drawingml/2006/picture">
                        <pic:nvPicPr>
                          <pic:cNvPr id="8" name="Picture 7" descr="care.jpg"/>
                          <pic:cNvPicPr>
                            <a:picLocks noChangeAspect="1"/>
                          </pic:cNvPicPr>
                        </pic:nvPicPr>
                        <pic:blipFill>
                          <a:blip r:embed="rId9" cstate="print"/>
                          <a:stretch>
                            <a:fillRect/>
                          </a:stretch>
                        </pic:blipFill>
                        <pic:spPr>
                          <a:xfrm>
                            <a:off x="0" y="0"/>
                            <a:ext cx="567948" cy="612648"/>
                          </a:xfrm>
                          <a:prstGeom prst="rect">
                            <a:avLst/>
                          </a:prstGeom>
                        </pic:spPr>
                      </pic:pic>
                    </a:graphicData>
                  </a:graphic>
                </wp:inline>
              </w:drawing>
            </w:r>
          </w:p>
          <w:p w:rsidR="004837A2" w:rsidRDefault="00595ABF" w:rsidP="004837A2">
            <w:pPr>
              <w:autoSpaceDE w:val="0"/>
              <w:autoSpaceDN w:val="0"/>
              <w:adjustRightInd w:val="0"/>
              <w:spacing w:after="120"/>
              <w:jc w:val="center"/>
            </w:pPr>
            <w:r w:rsidRPr="002A2227">
              <w:t>CARE</w:t>
            </w:r>
          </w:p>
          <w:p w:rsidR="004837A2" w:rsidRDefault="004837A2" w:rsidP="004837A2">
            <w:pPr>
              <w:autoSpaceDE w:val="0"/>
              <w:autoSpaceDN w:val="0"/>
              <w:adjustRightInd w:val="0"/>
              <w:spacing w:after="120"/>
              <w:jc w:val="center"/>
            </w:pPr>
          </w:p>
          <w:p w:rsidR="004837A2" w:rsidRDefault="004E6CDB" w:rsidP="004837A2">
            <w:pPr>
              <w:autoSpaceDE w:val="0"/>
              <w:autoSpaceDN w:val="0"/>
              <w:adjustRightInd w:val="0"/>
              <w:spacing w:after="120"/>
              <w:jc w:val="center"/>
            </w:pPr>
            <w:r>
              <w:rPr>
                <w:noProof/>
              </w:rPr>
              <w:drawing>
                <wp:inline distT="0" distB="0" distL="0" distR="0">
                  <wp:extent cx="990924" cy="560717"/>
                  <wp:effectExtent l="19050" t="0" r="0" b="0"/>
                  <wp:docPr id="31"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l="2564" t="35351" r="73210" b="48555"/>
                          <a:stretch>
                            <a:fillRect/>
                          </a:stretch>
                        </pic:blipFill>
                        <pic:spPr bwMode="auto">
                          <a:xfrm>
                            <a:off x="0" y="0"/>
                            <a:ext cx="990924" cy="560717"/>
                          </a:xfrm>
                          <a:prstGeom prst="rect">
                            <a:avLst/>
                          </a:prstGeom>
                          <a:noFill/>
                          <a:ln w="9525">
                            <a:noFill/>
                            <a:miter lim="800000"/>
                            <a:headEnd/>
                            <a:tailEnd/>
                          </a:ln>
                        </pic:spPr>
                      </pic:pic>
                    </a:graphicData>
                  </a:graphic>
                </wp:inline>
              </w:drawing>
            </w:r>
          </w:p>
          <w:p w:rsidR="004837A2" w:rsidRDefault="00595ABF" w:rsidP="004837A2">
            <w:pPr>
              <w:autoSpaceDE w:val="0"/>
              <w:autoSpaceDN w:val="0"/>
              <w:adjustRightInd w:val="0"/>
              <w:spacing w:after="120"/>
              <w:jc w:val="center"/>
            </w:pPr>
            <w:r w:rsidRPr="002A2227">
              <w:t>Catholic Relief Service</w:t>
            </w:r>
            <w:r>
              <w:t>s</w:t>
            </w:r>
          </w:p>
          <w:p w:rsidR="004837A2" w:rsidRDefault="004837A2" w:rsidP="004837A2">
            <w:pPr>
              <w:autoSpaceDE w:val="0"/>
              <w:autoSpaceDN w:val="0"/>
              <w:adjustRightInd w:val="0"/>
              <w:spacing w:after="120"/>
              <w:jc w:val="center"/>
            </w:pPr>
          </w:p>
          <w:p w:rsidR="004837A2" w:rsidRDefault="004837A2" w:rsidP="004837A2">
            <w:pPr>
              <w:autoSpaceDE w:val="0"/>
              <w:autoSpaceDN w:val="0"/>
              <w:adjustRightInd w:val="0"/>
              <w:spacing w:after="120"/>
              <w:jc w:val="center"/>
            </w:pPr>
          </w:p>
        </w:tc>
        <w:tc>
          <w:tcPr>
            <w:tcW w:w="3872" w:type="dxa"/>
          </w:tcPr>
          <w:p w:rsidR="00FC64E4" w:rsidRDefault="004E6CDB" w:rsidP="00FC64E4">
            <w:pPr>
              <w:autoSpaceDE w:val="0"/>
              <w:autoSpaceDN w:val="0"/>
              <w:adjustRightInd w:val="0"/>
              <w:spacing w:after="120"/>
              <w:jc w:val="center"/>
            </w:pPr>
            <w:r>
              <w:rPr>
                <w:noProof/>
              </w:rPr>
              <w:drawing>
                <wp:inline distT="0" distB="0" distL="0" distR="0">
                  <wp:extent cx="1629602" cy="569422"/>
                  <wp:effectExtent l="19050" t="0" r="8698" b="0"/>
                  <wp:docPr id="39" name="Picture 8"/>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b="7029"/>
                          <a:stretch>
                            <a:fillRect/>
                          </a:stretch>
                        </pic:blipFill>
                        <pic:spPr bwMode="auto">
                          <a:xfrm>
                            <a:off x="0" y="0"/>
                            <a:ext cx="1629602" cy="569422"/>
                          </a:xfrm>
                          <a:prstGeom prst="rect">
                            <a:avLst/>
                          </a:prstGeom>
                          <a:noFill/>
                          <a:ln w="9525">
                            <a:noFill/>
                            <a:miter lim="800000"/>
                            <a:headEnd/>
                            <a:tailEnd/>
                          </a:ln>
                        </pic:spPr>
                      </pic:pic>
                    </a:graphicData>
                  </a:graphic>
                </wp:inline>
              </w:drawing>
            </w:r>
          </w:p>
          <w:p w:rsidR="004837A2" w:rsidRDefault="00FC64E4" w:rsidP="004837A2">
            <w:pPr>
              <w:autoSpaceDE w:val="0"/>
              <w:autoSpaceDN w:val="0"/>
              <w:adjustRightInd w:val="0"/>
              <w:spacing w:after="120"/>
              <w:jc w:val="center"/>
              <w:rPr>
                <w:b/>
                <w:bCs/>
              </w:rPr>
            </w:pPr>
            <w:r w:rsidRPr="002A2227">
              <w:t>Fabretto Children’s Foundation</w:t>
            </w:r>
            <w:r w:rsidRPr="00595ABF">
              <w:t xml:space="preserve"> </w:t>
            </w:r>
          </w:p>
          <w:p w:rsidR="004837A2" w:rsidRDefault="004E6CDB" w:rsidP="004837A2">
            <w:pPr>
              <w:autoSpaceDE w:val="0"/>
              <w:autoSpaceDN w:val="0"/>
              <w:adjustRightInd w:val="0"/>
              <w:spacing w:after="120"/>
              <w:jc w:val="center"/>
              <w:rPr>
                <w:b/>
                <w:bCs/>
              </w:rPr>
            </w:pPr>
            <w:r>
              <w:rPr>
                <w:noProof/>
              </w:rPr>
              <w:drawing>
                <wp:inline distT="0" distB="0" distL="0" distR="0">
                  <wp:extent cx="965177" cy="612648"/>
                  <wp:effectExtent l="19050" t="0" r="6373" b="0"/>
                  <wp:docPr id="33" name="Picture 11" descr="ird.jpg"/>
                  <wp:cNvGraphicFramePr/>
                  <a:graphic xmlns:a="http://schemas.openxmlformats.org/drawingml/2006/main">
                    <a:graphicData uri="http://schemas.openxmlformats.org/drawingml/2006/picture">
                      <pic:pic xmlns:pic="http://schemas.openxmlformats.org/drawingml/2006/picture">
                        <pic:nvPicPr>
                          <pic:cNvPr id="17" name="Picture 16" descr="ird.jpg"/>
                          <pic:cNvPicPr>
                            <a:picLocks noChangeAspect="1"/>
                          </pic:cNvPicPr>
                        </pic:nvPicPr>
                        <pic:blipFill>
                          <a:blip r:embed="rId12" cstate="print"/>
                          <a:stretch>
                            <a:fillRect/>
                          </a:stretch>
                        </pic:blipFill>
                        <pic:spPr>
                          <a:xfrm>
                            <a:off x="0" y="0"/>
                            <a:ext cx="965177" cy="612648"/>
                          </a:xfrm>
                          <a:prstGeom prst="rect">
                            <a:avLst/>
                          </a:prstGeom>
                        </pic:spPr>
                      </pic:pic>
                    </a:graphicData>
                  </a:graphic>
                </wp:inline>
              </w:drawing>
            </w:r>
          </w:p>
          <w:p w:rsidR="004837A2" w:rsidRDefault="00595ABF" w:rsidP="004837A2">
            <w:pPr>
              <w:autoSpaceDE w:val="0"/>
              <w:autoSpaceDN w:val="0"/>
              <w:adjustRightInd w:val="0"/>
              <w:jc w:val="center"/>
              <w:rPr>
                <w:b/>
                <w:bCs/>
              </w:rPr>
            </w:pPr>
            <w:r w:rsidRPr="002A2227">
              <w:t xml:space="preserve">International Relief &amp; </w:t>
            </w:r>
          </w:p>
          <w:p w:rsidR="004837A2" w:rsidRDefault="00595ABF" w:rsidP="004837A2">
            <w:pPr>
              <w:autoSpaceDE w:val="0"/>
              <w:autoSpaceDN w:val="0"/>
              <w:adjustRightInd w:val="0"/>
              <w:jc w:val="center"/>
              <w:rPr>
                <w:b/>
                <w:bCs/>
              </w:rPr>
            </w:pPr>
            <w:r w:rsidRPr="002A2227">
              <w:t>Development</w:t>
            </w:r>
          </w:p>
          <w:p w:rsidR="004837A2" w:rsidRDefault="004837A2" w:rsidP="004837A2">
            <w:pPr>
              <w:autoSpaceDE w:val="0"/>
              <w:autoSpaceDN w:val="0"/>
              <w:adjustRightInd w:val="0"/>
              <w:spacing w:after="120"/>
              <w:jc w:val="center"/>
            </w:pPr>
          </w:p>
          <w:p w:rsidR="004837A2" w:rsidRDefault="004E6CDB" w:rsidP="004837A2">
            <w:pPr>
              <w:autoSpaceDE w:val="0"/>
              <w:autoSpaceDN w:val="0"/>
              <w:adjustRightInd w:val="0"/>
              <w:spacing w:after="120"/>
              <w:jc w:val="center"/>
            </w:pPr>
            <w:r>
              <w:rPr>
                <w:noProof/>
              </w:rPr>
              <w:drawing>
                <wp:inline distT="0" distB="0" distL="0" distR="0">
                  <wp:extent cx="1456067" cy="439947"/>
                  <wp:effectExtent l="19050" t="0" r="0" b="0"/>
                  <wp:docPr id="34" name="Picture 6"/>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l="26773" t="40798" r="39503" b="48555"/>
                          <a:stretch>
                            <a:fillRect/>
                          </a:stretch>
                        </pic:blipFill>
                        <pic:spPr bwMode="auto">
                          <a:xfrm>
                            <a:off x="0" y="0"/>
                            <a:ext cx="1456067" cy="439947"/>
                          </a:xfrm>
                          <a:prstGeom prst="rect">
                            <a:avLst/>
                          </a:prstGeom>
                          <a:noFill/>
                          <a:ln w="9525">
                            <a:noFill/>
                            <a:miter lim="800000"/>
                            <a:headEnd/>
                            <a:tailEnd/>
                          </a:ln>
                        </pic:spPr>
                      </pic:pic>
                    </a:graphicData>
                  </a:graphic>
                </wp:inline>
              </w:drawing>
            </w:r>
          </w:p>
          <w:p w:rsidR="004837A2" w:rsidRDefault="00595ABF" w:rsidP="004837A2">
            <w:pPr>
              <w:autoSpaceDE w:val="0"/>
              <w:autoSpaceDN w:val="0"/>
              <w:adjustRightInd w:val="0"/>
              <w:spacing w:after="120"/>
              <w:jc w:val="center"/>
              <w:rPr>
                <w:b/>
                <w:bCs/>
              </w:rPr>
            </w:pPr>
            <w:r w:rsidRPr="002A2227">
              <w:t>Land O’Lakes</w:t>
            </w:r>
            <w:r>
              <w:t>, Inc.</w:t>
            </w:r>
          </w:p>
          <w:p w:rsidR="004837A2" w:rsidRDefault="004837A2" w:rsidP="004837A2">
            <w:pPr>
              <w:autoSpaceDE w:val="0"/>
              <w:autoSpaceDN w:val="0"/>
              <w:adjustRightInd w:val="0"/>
              <w:spacing w:after="120"/>
              <w:jc w:val="center"/>
            </w:pPr>
          </w:p>
        </w:tc>
        <w:tc>
          <w:tcPr>
            <w:tcW w:w="2409" w:type="dxa"/>
          </w:tcPr>
          <w:p w:rsidR="004837A2" w:rsidRDefault="004E6CDB" w:rsidP="004837A2">
            <w:pPr>
              <w:autoSpaceDE w:val="0"/>
              <w:autoSpaceDN w:val="0"/>
              <w:adjustRightInd w:val="0"/>
              <w:spacing w:after="120"/>
              <w:jc w:val="center"/>
            </w:pPr>
            <w:r>
              <w:rPr>
                <w:noProof/>
              </w:rPr>
              <w:drawing>
                <wp:inline distT="0" distB="0" distL="0" distR="0">
                  <wp:extent cx="1550957" cy="621102"/>
                  <wp:effectExtent l="19050" t="0" r="0" b="0"/>
                  <wp:docPr id="37" name="Picture 3"/>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l="60079" t="39313" r="6090" b="48555"/>
                          <a:stretch>
                            <a:fillRect/>
                          </a:stretch>
                        </pic:blipFill>
                        <pic:spPr bwMode="auto">
                          <a:xfrm>
                            <a:off x="0" y="0"/>
                            <a:ext cx="1550957" cy="621102"/>
                          </a:xfrm>
                          <a:prstGeom prst="rect">
                            <a:avLst/>
                          </a:prstGeom>
                          <a:noFill/>
                          <a:ln w="9525">
                            <a:noFill/>
                            <a:miter lim="800000"/>
                            <a:headEnd/>
                            <a:tailEnd/>
                          </a:ln>
                        </pic:spPr>
                      </pic:pic>
                    </a:graphicData>
                  </a:graphic>
                </wp:inline>
              </w:drawing>
            </w:r>
          </w:p>
          <w:p w:rsidR="004837A2" w:rsidRDefault="00595ABF" w:rsidP="004837A2">
            <w:pPr>
              <w:autoSpaceDE w:val="0"/>
              <w:autoSpaceDN w:val="0"/>
              <w:adjustRightInd w:val="0"/>
              <w:spacing w:after="120"/>
              <w:jc w:val="center"/>
            </w:pPr>
            <w:r w:rsidRPr="002A2227">
              <w:t>Mercy Corps</w:t>
            </w:r>
          </w:p>
          <w:p w:rsidR="004837A2" w:rsidRDefault="004837A2" w:rsidP="004837A2">
            <w:pPr>
              <w:autoSpaceDE w:val="0"/>
              <w:autoSpaceDN w:val="0"/>
              <w:adjustRightInd w:val="0"/>
              <w:spacing w:after="120"/>
              <w:jc w:val="center"/>
            </w:pPr>
          </w:p>
          <w:p w:rsidR="004837A2" w:rsidRDefault="004E6CDB" w:rsidP="004837A2">
            <w:pPr>
              <w:autoSpaceDE w:val="0"/>
              <w:autoSpaceDN w:val="0"/>
              <w:adjustRightInd w:val="0"/>
              <w:spacing w:after="120"/>
              <w:jc w:val="center"/>
            </w:pPr>
            <w:r>
              <w:rPr>
                <w:noProof/>
              </w:rPr>
              <w:drawing>
                <wp:inline distT="0" distB="0" distL="0" distR="0">
                  <wp:extent cx="1262984" cy="457200"/>
                  <wp:effectExtent l="19050" t="0" r="0" b="0"/>
                  <wp:docPr id="38" name="Picture 9" descr="umcorlogo500.jpg"/>
                  <wp:cNvGraphicFramePr/>
                  <a:graphic xmlns:a="http://schemas.openxmlformats.org/drawingml/2006/main">
                    <a:graphicData uri="http://schemas.openxmlformats.org/drawingml/2006/picture">
                      <pic:pic xmlns:pic="http://schemas.openxmlformats.org/drawingml/2006/picture">
                        <pic:nvPicPr>
                          <pic:cNvPr id="7" name="Picture 6" descr="umcorlogo500.jpg"/>
                          <pic:cNvPicPr>
                            <a:picLocks noChangeAspect="1"/>
                          </pic:cNvPicPr>
                        </pic:nvPicPr>
                        <pic:blipFill>
                          <a:blip r:embed="rId13" cstate="print"/>
                          <a:stretch>
                            <a:fillRect/>
                          </a:stretch>
                        </pic:blipFill>
                        <pic:spPr>
                          <a:xfrm>
                            <a:off x="0" y="0"/>
                            <a:ext cx="1262984" cy="457200"/>
                          </a:xfrm>
                          <a:prstGeom prst="rect">
                            <a:avLst/>
                          </a:prstGeom>
                        </pic:spPr>
                      </pic:pic>
                    </a:graphicData>
                  </a:graphic>
                </wp:inline>
              </w:drawing>
            </w:r>
          </w:p>
          <w:p w:rsidR="004837A2" w:rsidRDefault="00595ABF" w:rsidP="004837A2">
            <w:pPr>
              <w:autoSpaceDE w:val="0"/>
              <w:autoSpaceDN w:val="0"/>
              <w:adjustRightInd w:val="0"/>
              <w:spacing w:after="120"/>
              <w:jc w:val="center"/>
            </w:pPr>
            <w:r w:rsidRPr="002A2227">
              <w:t>United Methodist Committee on Relief</w:t>
            </w:r>
          </w:p>
        </w:tc>
      </w:tr>
    </w:tbl>
    <w:p w:rsidR="00D679B3" w:rsidRPr="002A2227" w:rsidRDefault="00D679B3" w:rsidP="008421CE">
      <w:pPr>
        <w:autoSpaceDE w:val="0"/>
        <w:autoSpaceDN w:val="0"/>
        <w:adjustRightInd w:val="0"/>
        <w:spacing w:after="120"/>
      </w:pPr>
    </w:p>
    <w:sectPr w:rsidR="00D679B3" w:rsidRPr="002A2227" w:rsidSect="00595ABF">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A15" w:rsidRDefault="00DF5A15" w:rsidP="007C4360">
      <w:r>
        <w:separator/>
      </w:r>
    </w:p>
  </w:endnote>
  <w:endnote w:type="continuationSeparator" w:id="0">
    <w:p w:rsidR="00DF5A15" w:rsidRDefault="00DF5A15" w:rsidP="007C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A15" w:rsidRDefault="00DF5A15" w:rsidP="007C4360">
      <w:r>
        <w:separator/>
      </w:r>
    </w:p>
  </w:footnote>
  <w:footnote w:type="continuationSeparator" w:id="0">
    <w:p w:rsidR="00DF5A15" w:rsidRDefault="00DF5A15" w:rsidP="007C4360">
      <w:r>
        <w:continuationSeparator/>
      </w:r>
    </w:p>
  </w:footnote>
  <w:footnote w:id="1">
    <w:p w:rsidR="007C4360" w:rsidRPr="00B777DA" w:rsidRDefault="007C4360">
      <w:pPr>
        <w:pStyle w:val="FootnoteText"/>
      </w:pPr>
      <w:r w:rsidRPr="00B777DA">
        <w:rPr>
          <w:rStyle w:val="FootnoteReference"/>
        </w:rPr>
        <w:footnoteRef/>
      </w:r>
      <w:r w:rsidRPr="00B777DA">
        <w:t xml:space="preserve"> </w:t>
      </w:r>
      <w:r w:rsidR="00B777DA" w:rsidRPr="00B777DA">
        <w:t>Erin C. Lentz, Christopher B. Barrett and Miguel I. Gómez,</w:t>
      </w:r>
      <w:r w:rsidR="00B777DA" w:rsidRPr="00B777DA">
        <w:rPr>
          <w:rStyle w:val="apple-converted-space"/>
        </w:rPr>
        <w:t> </w:t>
      </w:r>
      <w:hyperlink r:id="rId1" w:history="1">
        <w:r w:rsidR="00B777DA" w:rsidRPr="00B777DA">
          <w:rPr>
            <w:rStyle w:val="Hyperlink"/>
            <w:b w:val="0"/>
            <w:color w:val="auto"/>
          </w:rPr>
          <w:t>"The Impacts of Local and Regional Procurement of US Food Aid: Learning Alliance Synthesis Report,"</w:t>
        </w:r>
      </w:hyperlink>
      <w:r w:rsidR="00B777DA" w:rsidRPr="00B777DA">
        <w:rPr>
          <w:rStyle w:val="apple-converted-space"/>
        </w:rPr>
        <w:t> </w:t>
      </w:r>
      <w:r w:rsidR="00B777DA" w:rsidRPr="00B777DA">
        <w:t>Final Report: A Multidimensional Analysis of Local and Regional Procurement of US Food Aid, January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43ADA"/>
    <w:multiLevelType w:val="hybridMultilevel"/>
    <w:tmpl w:val="D520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55184C"/>
    <w:multiLevelType w:val="hybridMultilevel"/>
    <w:tmpl w:val="FDAC762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E65AE"/>
    <w:multiLevelType w:val="hybridMultilevel"/>
    <w:tmpl w:val="3348C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8E1D73"/>
    <w:multiLevelType w:val="hybridMultilevel"/>
    <w:tmpl w:val="EC7E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24CBA"/>
    <w:multiLevelType w:val="multilevel"/>
    <w:tmpl w:val="6134A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92A1A02"/>
    <w:multiLevelType w:val="hybridMultilevel"/>
    <w:tmpl w:val="8AFE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597206"/>
    <w:multiLevelType w:val="hybridMultilevel"/>
    <w:tmpl w:val="58540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FB35782"/>
    <w:multiLevelType w:val="hybridMultilevel"/>
    <w:tmpl w:val="D88A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8E"/>
    <w:rsid w:val="00015B67"/>
    <w:rsid w:val="00027D7A"/>
    <w:rsid w:val="00043E8E"/>
    <w:rsid w:val="000B7F42"/>
    <w:rsid w:val="000E4CDE"/>
    <w:rsid w:val="000F36AE"/>
    <w:rsid w:val="001149A3"/>
    <w:rsid w:val="001427D1"/>
    <w:rsid w:val="00151EA4"/>
    <w:rsid w:val="001613B6"/>
    <w:rsid w:val="001929E2"/>
    <w:rsid w:val="001B3F22"/>
    <w:rsid w:val="001B5C21"/>
    <w:rsid w:val="001C4CF9"/>
    <w:rsid w:val="001C6BC8"/>
    <w:rsid w:val="001E7FCC"/>
    <w:rsid w:val="001F7C97"/>
    <w:rsid w:val="00203027"/>
    <w:rsid w:val="002079BB"/>
    <w:rsid w:val="00217AC9"/>
    <w:rsid w:val="00236B7F"/>
    <w:rsid w:val="002A2227"/>
    <w:rsid w:val="002A73DB"/>
    <w:rsid w:val="002C21FF"/>
    <w:rsid w:val="002E1A89"/>
    <w:rsid w:val="002E3C99"/>
    <w:rsid w:val="002F25DC"/>
    <w:rsid w:val="003473D6"/>
    <w:rsid w:val="00364A72"/>
    <w:rsid w:val="00383A13"/>
    <w:rsid w:val="00392847"/>
    <w:rsid w:val="003A7493"/>
    <w:rsid w:val="003E09F8"/>
    <w:rsid w:val="00412102"/>
    <w:rsid w:val="00421A3F"/>
    <w:rsid w:val="0042506B"/>
    <w:rsid w:val="00433AA1"/>
    <w:rsid w:val="004454DB"/>
    <w:rsid w:val="00467D61"/>
    <w:rsid w:val="0047248A"/>
    <w:rsid w:val="00476C74"/>
    <w:rsid w:val="0048302B"/>
    <w:rsid w:val="004837A2"/>
    <w:rsid w:val="004A0887"/>
    <w:rsid w:val="004A76E8"/>
    <w:rsid w:val="004E3169"/>
    <w:rsid w:val="004E6CDB"/>
    <w:rsid w:val="00516295"/>
    <w:rsid w:val="0052667D"/>
    <w:rsid w:val="00556457"/>
    <w:rsid w:val="00563445"/>
    <w:rsid w:val="005754D5"/>
    <w:rsid w:val="00586903"/>
    <w:rsid w:val="00595ABF"/>
    <w:rsid w:val="005C0AAA"/>
    <w:rsid w:val="005D7D1B"/>
    <w:rsid w:val="005E79D3"/>
    <w:rsid w:val="0062638C"/>
    <w:rsid w:val="00630252"/>
    <w:rsid w:val="00650106"/>
    <w:rsid w:val="006557DA"/>
    <w:rsid w:val="006C5148"/>
    <w:rsid w:val="006E6B2B"/>
    <w:rsid w:val="00715C48"/>
    <w:rsid w:val="0072031A"/>
    <w:rsid w:val="00741051"/>
    <w:rsid w:val="007454A5"/>
    <w:rsid w:val="0076142E"/>
    <w:rsid w:val="00784073"/>
    <w:rsid w:val="007C4360"/>
    <w:rsid w:val="007D024A"/>
    <w:rsid w:val="007E0A34"/>
    <w:rsid w:val="007E49C0"/>
    <w:rsid w:val="00814247"/>
    <w:rsid w:val="008421CE"/>
    <w:rsid w:val="00852695"/>
    <w:rsid w:val="0086216E"/>
    <w:rsid w:val="00863C17"/>
    <w:rsid w:val="00894091"/>
    <w:rsid w:val="008D337A"/>
    <w:rsid w:val="008D50AB"/>
    <w:rsid w:val="009133D5"/>
    <w:rsid w:val="00917D02"/>
    <w:rsid w:val="009252E6"/>
    <w:rsid w:val="009355F1"/>
    <w:rsid w:val="0095063D"/>
    <w:rsid w:val="00954389"/>
    <w:rsid w:val="0096779E"/>
    <w:rsid w:val="00985865"/>
    <w:rsid w:val="009E5CB0"/>
    <w:rsid w:val="009E6C78"/>
    <w:rsid w:val="00A00DDA"/>
    <w:rsid w:val="00A14BAC"/>
    <w:rsid w:val="00A424E6"/>
    <w:rsid w:val="00A55A61"/>
    <w:rsid w:val="00A74887"/>
    <w:rsid w:val="00A83E32"/>
    <w:rsid w:val="00A85710"/>
    <w:rsid w:val="00AA1839"/>
    <w:rsid w:val="00AD3E10"/>
    <w:rsid w:val="00AE4F4B"/>
    <w:rsid w:val="00AE5215"/>
    <w:rsid w:val="00AF69C1"/>
    <w:rsid w:val="00B0275E"/>
    <w:rsid w:val="00B13004"/>
    <w:rsid w:val="00B16D59"/>
    <w:rsid w:val="00B257EC"/>
    <w:rsid w:val="00B46B69"/>
    <w:rsid w:val="00B52846"/>
    <w:rsid w:val="00B61781"/>
    <w:rsid w:val="00B777DA"/>
    <w:rsid w:val="00B77E64"/>
    <w:rsid w:val="00B860A6"/>
    <w:rsid w:val="00BA3543"/>
    <w:rsid w:val="00BA4A1A"/>
    <w:rsid w:val="00BC5237"/>
    <w:rsid w:val="00BF0967"/>
    <w:rsid w:val="00C35543"/>
    <w:rsid w:val="00C439AC"/>
    <w:rsid w:val="00C736C2"/>
    <w:rsid w:val="00CC5FDA"/>
    <w:rsid w:val="00D11012"/>
    <w:rsid w:val="00D32459"/>
    <w:rsid w:val="00D5688F"/>
    <w:rsid w:val="00D679B3"/>
    <w:rsid w:val="00D91B33"/>
    <w:rsid w:val="00DA1EB4"/>
    <w:rsid w:val="00DB5C46"/>
    <w:rsid w:val="00DC0A95"/>
    <w:rsid w:val="00DC0CD5"/>
    <w:rsid w:val="00DD78C8"/>
    <w:rsid w:val="00DE1DD5"/>
    <w:rsid w:val="00DF5A15"/>
    <w:rsid w:val="00DF5E19"/>
    <w:rsid w:val="00DF6413"/>
    <w:rsid w:val="00E1409D"/>
    <w:rsid w:val="00E254D3"/>
    <w:rsid w:val="00E536EF"/>
    <w:rsid w:val="00E657E0"/>
    <w:rsid w:val="00E72975"/>
    <w:rsid w:val="00E74F2C"/>
    <w:rsid w:val="00E81C51"/>
    <w:rsid w:val="00E834D5"/>
    <w:rsid w:val="00E94049"/>
    <w:rsid w:val="00E946E5"/>
    <w:rsid w:val="00E96261"/>
    <w:rsid w:val="00EA6A6D"/>
    <w:rsid w:val="00EB1B14"/>
    <w:rsid w:val="00EB1FD5"/>
    <w:rsid w:val="00ED3F76"/>
    <w:rsid w:val="00EF7A76"/>
    <w:rsid w:val="00F14EB3"/>
    <w:rsid w:val="00F61FD6"/>
    <w:rsid w:val="00F70027"/>
    <w:rsid w:val="00F7111C"/>
    <w:rsid w:val="00F73B44"/>
    <w:rsid w:val="00F91082"/>
    <w:rsid w:val="00FA0B69"/>
    <w:rsid w:val="00FC0CE9"/>
    <w:rsid w:val="00FC64E4"/>
    <w:rsid w:val="00FD1548"/>
    <w:rsid w:val="00FD2DDA"/>
    <w:rsid w:val="00FD58F1"/>
    <w:rsid w:val="00FE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6B69"/>
    <w:rPr>
      <w:b/>
      <w:bCs/>
      <w:strike w:val="0"/>
      <w:dstrike w:val="0"/>
      <w:color w:val="1E4A6F"/>
      <w:u w:val="none"/>
      <w:effect w:val="none"/>
    </w:rPr>
  </w:style>
  <w:style w:type="character" w:styleId="CommentReference">
    <w:name w:val="annotation reference"/>
    <w:basedOn w:val="DefaultParagraphFont"/>
    <w:semiHidden/>
    <w:rsid w:val="00784073"/>
    <w:rPr>
      <w:sz w:val="16"/>
      <w:szCs w:val="16"/>
    </w:rPr>
  </w:style>
  <w:style w:type="paragraph" w:styleId="CommentText">
    <w:name w:val="annotation text"/>
    <w:basedOn w:val="Normal"/>
    <w:semiHidden/>
    <w:rsid w:val="00784073"/>
    <w:rPr>
      <w:sz w:val="20"/>
      <w:szCs w:val="20"/>
    </w:rPr>
  </w:style>
  <w:style w:type="paragraph" w:styleId="CommentSubject">
    <w:name w:val="annotation subject"/>
    <w:basedOn w:val="CommentText"/>
    <w:next w:val="CommentText"/>
    <w:semiHidden/>
    <w:rsid w:val="00784073"/>
    <w:rPr>
      <w:b/>
      <w:bCs/>
    </w:rPr>
  </w:style>
  <w:style w:type="paragraph" w:styleId="BalloonText">
    <w:name w:val="Balloon Text"/>
    <w:basedOn w:val="Normal"/>
    <w:semiHidden/>
    <w:rsid w:val="00784073"/>
    <w:rPr>
      <w:rFonts w:ascii="Tahoma" w:hAnsi="Tahoma" w:cs="Tahoma"/>
      <w:sz w:val="16"/>
      <w:szCs w:val="16"/>
    </w:rPr>
  </w:style>
  <w:style w:type="paragraph" w:styleId="ListParagraph">
    <w:name w:val="List Paragraph"/>
    <w:basedOn w:val="Normal"/>
    <w:uiPriority w:val="34"/>
    <w:qFormat/>
    <w:rsid w:val="00DC0CD5"/>
    <w:pPr>
      <w:ind w:left="720"/>
      <w:contextualSpacing/>
    </w:pPr>
  </w:style>
  <w:style w:type="paragraph" w:styleId="FootnoteText">
    <w:name w:val="footnote text"/>
    <w:basedOn w:val="Normal"/>
    <w:link w:val="FootnoteTextChar"/>
    <w:rsid w:val="007C4360"/>
    <w:rPr>
      <w:sz w:val="20"/>
      <w:szCs w:val="20"/>
    </w:rPr>
  </w:style>
  <w:style w:type="character" w:customStyle="1" w:styleId="FootnoteTextChar">
    <w:name w:val="Footnote Text Char"/>
    <w:basedOn w:val="DefaultParagraphFont"/>
    <w:link w:val="FootnoteText"/>
    <w:rsid w:val="007C4360"/>
  </w:style>
  <w:style w:type="character" w:styleId="FootnoteReference">
    <w:name w:val="footnote reference"/>
    <w:basedOn w:val="DefaultParagraphFont"/>
    <w:rsid w:val="007C4360"/>
    <w:rPr>
      <w:vertAlign w:val="superscript"/>
    </w:rPr>
  </w:style>
  <w:style w:type="character" w:customStyle="1" w:styleId="apple-converted-space">
    <w:name w:val="apple-converted-space"/>
    <w:basedOn w:val="DefaultParagraphFont"/>
    <w:rsid w:val="00B777DA"/>
  </w:style>
  <w:style w:type="table" w:styleId="TableGrid">
    <w:name w:val="Table Grid"/>
    <w:basedOn w:val="TableNormal"/>
    <w:rsid w:val="00595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617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6B69"/>
    <w:rPr>
      <w:b/>
      <w:bCs/>
      <w:strike w:val="0"/>
      <w:dstrike w:val="0"/>
      <w:color w:val="1E4A6F"/>
      <w:u w:val="none"/>
      <w:effect w:val="none"/>
    </w:rPr>
  </w:style>
  <w:style w:type="character" w:styleId="CommentReference">
    <w:name w:val="annotation reference"/>
    <w:basedOn w:val="DefaultParagraphFont"/>
    <w:semiHidden/>
    <w:rsid w:val="00784073"/>
    <w:rPr>
      <w:sz w:val="16"/>
      <w:szCs w:val="16"/>
    </w:rPr>
  </w:style>
  <w:style w:type="paragraph" w:styleId="CommentText">
    <w:name w:val="annotation text"/>
    <w:basedOn w:val="Normal"/>
    <w:semiHidden/>
    <w:rsid w:val="00784073"/>
    <w:rPr>
      <w:sz w:val="20"/>
      <w:szCs w:val="20"/>
    </w:rPr>
  </w:style>
  <w:style w:type="paragraph" w:styleId="CommentSubject">
    <w:name w:val="annotation subject"/>
    <w:basedOn w:val="CommentText"/>
    <w:next w:val="CommentText"/>
    <w:semiHidden/>
    <w:rsid w:val="00784073"/>
    <w:rPr>
      <w:b/>
      <w:bCs/>
    </w:rPr>
  </w:style>
  <w:style w:type="paragraph" w:styleId="BalloonText">
    <w:name w:val="Balloon Text"/>
    <w:basedOn w:val="Normal"/>
    <w:semiHidden/>
    <w:rsid w:val="00784073"/>
    <w:rPr>
      <w:rFonts w:ascii="Tahoma" w:hAnsi="Tahoma" w:cs="Tahoma"/>
      <w:sz w:val="16"/>
      <w:szCs w:val="16"/>
    </w:rPr>
  </w:style>
  <w:style w:type="paragraph" w:styleId="ListParagraph">
    <w:name w:val="List Paragraph"/>
    <w:basedOn w:val="Normal"/>
    <w:uiPriority w:val="34"/>
    <w:qFormat/>
    <w:rsid w:val="00DC0CD5"/>
    <w:pPr>
      <w:ind w:left="720"/>
      <w:contextualSpacing/>
    </w:pPr>
  </w:style>
  <w:style w:type="paragraph" w:styleId="FootnoteText">
    <w:name w:val="footnote text"/>
    <w:basedOn w:val="Normal"/>
    <w:link w:val="FootnoteTextChar"/>
    <w:rsid w:val="007C4360"/>
    <w:rPr>
      <w:sz w:val="20"/>
      <w:szCs w:val="20"/>
    </w:rPr>
  </w:style>
  <w:style w:type="character" w:customStyle="1" w:styleId="FootnoteTextChar">
    <w:name w:val="Footnote Text Char"/>
    <w:basedOn w:val="DefaultParagraphFont"/>
    <w:link w:val="FootnoteText"/>
    <w:rsid w:val="007C4360"/>
  </w:style>
  <w:style w:type="character" w:styleId="FootnoteReference">
    <w:name w:val="footnote reference"/>
    <w:basedOn w:val="DefaultParagraphFont"/>
    <w:rsid w:val="007C4360"/>
    <w:rPr>
      <w:vertAlign w:val="superscript"/>
    </w:rPr>
  </w:style>
  <w:style w:type="character" w:customStyle="1" w:styleId="apple-converted-space">
    <w:name w:val="apple-converted-space"/>
    <w:basedOn w:val="DefaultParagraphFont"/>
    <w:rsid w:val="00B777DA"/>
  </w:style>
  <w:style w:type="table" w:styleId="TableGrid">
    <w:name w:val="Table Grid"/>
    <w:basedOn w:val="TableNormal"/>
    <w:rsid w:val="00595A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617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63596">
      <w:bodyDiv w:val="1"/>
      <w:marLeft w:val="0"/>
      <w:marRight w:val="0"/>
      <w:marTop w:val="0"/>
      <w:marBottom w:val="0"/>
      <w:divBdr>
        <w:top w:val="none" w:sz="0" w:space="0" w:color="auto"/>
        <w:left w:val="none" w:sz="0" w:space="0" w:color="auto"/>
        <w:bottom w:val="none" w:sz="0" w:space="0" w:color="auto"/>
        <w:right w:val="none" w:sz="0" w:space="0" w:color="auto"/>
      </w:divBdr>
    </w:div>
    <w:div w:id="174896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yson.cornell.edu/faculty_sites/cbb2/Papers/LRP%20Ch%201%20Lentz%20et%20al%2011Jan2012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90A7B-8B64-49E1-94EC-287BA3B8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recent blog posting, “Washington urged to stop wasting food aid dollars,” on February 15th, noted that a group of NGOs, including Oxfam, American Jewish World Service, and the Bread for the World Institute, is calling for food aid reform in the next Fa</vt:lpstr>
    </vt:vector>
  </TitlesOfParts>
  <Company>World Vision</Company>
  <LinksUpToDate>false</LinksUpToDate>
  <CharactersWithSpaces>4895</CharactersWithSpaces>
  <SharedDoc>false</SharedDoc>
  <HLinks>
    <vt:vector size="6" baseType="variant">
      <vt:variant>
        <vt:i4>1900569</vt:i4>
      </vt:variant>
      <vt:variant>
        <vt:i4>0</vt:i4>
      </vt:variant>
      <vt:variant>
        <vt:i4>0</vt:i4>
      </vt:variant>
      <vt:variant>
        <vt:i4>5</vt:i4>
      </vt:variant>
      <vt:variant>
        <vt:lpwstr>http://www.trust.org/alertnet/blogs/alertnet-news-blog/washington-urged-to-stop-wasting-food-aid-dollars/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recent blog posting, “Washington urged to stop wasting food aid dollars,” on February 15th, noted that a group of NGOs, including Oxfam, American Jewish World Service, and the Bread for the World Institute, is calling for food aid reform in the next Fa</dc:title>
  <dc:creator>World Vision</dc:creator>
  <cp:lastModifiedBy>Selzer, Blake</cp:lastModifiedBy>
  <cp:revision>2</cp:revision>
  <cp:lastPrinted>2012-03-20T15:50:00Z</cp:lastPrinted>
  <dcterms:created xsi:type="dcterms:W3CDTF">2014-02-08T20:29:00Z</dcterms:created>
  <dcterms:modified xsi:type="dcterms:W3CDTF">2014-02-08T20:29:00Z</dcterms:modified>
</cp:coreProperties>
</file>